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20" w:lineRule="exact"/>
        <w:jc w:val="left"/>
        <w:rPr>
          <w:rFonts w:eastAsia="方正黑体简体"/>
          <w:sz w:val="32"/>
          <w:szCs w:val="32"/>
        </w:rPr>
      </w:pPr>
      <w:r>
        <w:rPr>
          <w:rFonts w:hint="eastAsia" w:eastAsia="方正黑体简体"/>
          <w:sz w:val="32"/>
          <w:szCs w:val="32"/>
        </w:rPr>
        <w:t>附件</w:t>
      </w:r>
      <w:r>
        <w:rPr>
          <w:rFonts w:eastAsia="方正黑体简体"/>
          <w:sz w:val="32"/>
          <w:szCs w:val="32"/>
        </w:rPr>
        <w:t>3</w:t>
      </w:r>
    </w:p>
    <w:p>
      <w:pPr>
        <w:spacing w:line="580" w:lineRule="exact"/>
        <w:jc w:val="center"/>
        <w:rPr>
          <w:rFonts w:eastAsia="方正小标宋简体"/>
          <w:sz w:val="44"/>
          <w:szCs w:val="44"/>
        </w:rPr>
      </w:pPr>
      <w:r>
        <w:rPr>
          <w:rFonts w:eastAsia="方正小标宋简体"/>
          <w:sz w:val="44"/>
          <w:szCs w:val="44"/>
        </w:rPr>
        <w:t>202</w:t>
      </w:r>
      <w:r>
        <w:rPr>
          <w:rFonts w:hint="eastAsia" w:eastAsia="方正小标宋简体"/>
          <w:sz w:val="44"/>
          <w:szCs w:val="44"/>
        </w:rPr>
        <w:t>2年度乐至县部门整体支出绩效</w:t>
      </w:r>
    </w:p>
    <w:p>
      <w:pPr>
        <w:spacing w:line="580" w:lineRule="exact"/>
        <w:jc w:val="center"/>
        <w:rPr>
          <w:rFonts w:eastAsia="方正小标宋简体"/>
          <w:sz w:val="44"/>
          <w:szCs w:val="44"/>
        </w:rPr>
      </w:pPr>
      <w:r>
        <w:rPr>
          <w:rFonts w:hint="eastAsia" w:eastAsia="方正小标宋简体"/>
          <w:sz w:val="44"/>
          <w:szCs w:val="44"/>
        </w:rPr>
        <w:t>自评报告</w:t>
      </w:r>
    </w:p>
    <w:p>
      <w:pPr>
        <w:spacing w:line="580" w:lineRule="exact"/>
        <w:ind w:firstLine="640" w:firstLineChars="200"/>
        <w:rPr>
          <w:rFonts w:eastAsia="方正仿宋简体"/>
          <w:sz w:val="32"/>
          <w:szCs w:val="32"/>
        </w:rPr>
      </w:pPr>
    </w:p>
    <w:p>
      <w:pPr>
        <w:spacing w:line="580" w:lineRule="exact"/>
        <w:jc w:val="center"/>
        <w:rPr>
          <w:rFonts w:eastAsia="方正黑体简体"/>
          <w:sz w:val="32"/>
          <w:szCs w:val="32"/>
        </w:rPr>
      </w:pPr>
      <w:r>
        <w:rPr>
          <w:rFonts w:hint="eastAsia" w:eastAsia="方正黑体简体"/>
          <w:sz w:val="32"/>
          <w:szCs w:val="32"/>
        </w:rPr>
        <w:t>前</w:t>
      </w:r>
      <w:r>
        <w:rPr>
          <w:rFonts w:eastAsia="方正黑体简体"/>
          <w:sz w:val="32"/>
          <w:szCs w:val="32"/>
        </w:rPr>
        <w:t xml:space="preserve">    </w:t>
      </w:r>
      <w:r>
        <w:rPr>
          <w:rFonts w:hint="eastAsia" w:eastAsia="方正黑体简体"/>
          <w:sz w:val="32"/>
          <w:szCs w:val="32"/>
        </w:rPr>
        <w:t>言</w:t>
      </w:r>
    </w:p>
    <w:p>
      <w:pPr>
        <w:spacing w:line="580" w:lineRule="exact"/>
        <w:ind w:firstLine="640" w:firstLineChars="200"/>
        <w:rPr>
          <w:rFonts w:eastAsia="方正仿宋简体"/>
          <w:sz w:val="32"/>
          <w:szCs w:val="32"/>
        </w:rPr>
      </w:pPr>
    </w:p>
    <w:p>
      <w:pPr>
        <w:spacing w:line="580" w:lineRule="exact"/>
        <w:ind w:firstLine="640" w:firstLineChars="200"/>
        <w:rPr>
          <w:rFonts w:eastAsia="方正黑体简体"/>
          <w:sz w:val="32"/>
          <w:szCs w:val="32"/>
        </w:rPr>
      </w:pPr>
      <w:r>
        <w:rPr>
          <w:rFonts w:hint="eastAsia" w:eastAsia="方正黑体简体"/>
          <w:sz w:val="32"/>
          <w:szCs w:val="32"/>
        </w:rPr>
        <w:t>一、单位概况</w:t>
      </w:r>
    </w:p>
    <w:p>
      <w:pPr>
        <w:spacing w:line="580" w:lineRule="exact"/>
        <w:ind w:firstLine="643" w:firstLineChars="200"/>
        <w:rPr>
          <w:rFonts w:hint="eastAsia" w:eastAsia="方正楷体简体"/>
          <w:b/>
          <w:sz w:val="32"/>
          <w:szCs w:val="32"/>
        </w:rPr>
      </w:pPr>
      <w:r>
        <w:rPr>
          <w:rFonts w:hint="eastAsia" w:eastAsia="方正楷体简体"/>
          <w:b/>
          <w:sz w:val="32"/>
          <w:szCs w:val="32"/>
        </w:rPr>
        <w:t>（一）机构组成</w:t>
      </w:r>
    </w:p>
    <w:p>
      <w:pPr>
        <w:spacing w:line="580" w:lineRule="exact"/>
        <w:ind w:firstLine="640" w:firstLineChars="200"/>
      </w:pPr>
      <w:r>
        <w:rPr>
          <w:rFonts w:hint="eastAsia" w:eastAsia="方正仿宋简体"/>
          <w:sz w:val="32"/>
          <w:szCs w:val="32"/>
        </w:rPr>
        <w:t>乐至县人民政府南塔街道办事处由党政综合办公室、党建办公室、综合行政执法办公室、社会事务管理办公室、经济发展办公室、基层治理办公室（群众工作办公室）、财政所、应急管理和生态环境办公室、城市建设管理办公室9个职能部门组成。</w:t>
      </w:r>
    </w:p>
    <w:p>
      <w:pPr>
        <w:numPr>
          <w:ilvl w:val="0"/>
          <w:numId w:val="1"/>
        </w:numPr>
        <w:spacing w:line="580" w:lineRule="exact"/>
        <w:ind w:left="-13" w:leftChars="0" w:firstLine="643" w:firstLineChars="0"/>
        <w:rPr>
          <w:rFonts w:hint="eastAsia" w:eastAsia="方正楷体简体"/>
          <w:b/>
          <w:sz w:val="32"/>
          <w:szCs w:val="32"/>
        </w:rPr>
      </w:pPr>
      <w:r>
        <w:rPr>
          <w:rFonts w:hint="eastAsia" w:eastAsia="方正楷体简体"/>
          <w:b/>
          <w:sz w:val="32"/>
          <w:szCs w:val="32"/>
        </w:rPr>
        <w:t>机构职能</w:t>
      </w:r>
    </w:p>
    <w:p>
      <w:pPr>
        <w:spacing w:line="580" w:lineRule="exact"/>
        <w:ind w:firstLine="640" w:firstLineChars="200"/>
      </w:pPr>
      <w:r>
        <w:rPr>
          <w:rFonts w:hint="eastAsia" w:eastAsia="方正仿宋简体"/>
          <w:sz w:val="32"/>
          <w:szCs w:val="32"/>
        </w:rPr>
        <w:t>1、党政综合办公室负责街道党工委、办事处日常事务，负责机关综合协调、政策调研、政务公开、督查考核、目标绩效管理等工作；负责文电会务、保密机要、印章管理、档案管理及机关后勤保障服务等工作；承担人民武装工作；承担权力清单和责任清单动态调整、制度建设等相关工作；完成街道党工委、办事处交办的其他工作；2、党建办公室负责基层党组织建设领域各项方针政策、法律法规规章的贯彻落实；负责思想政治建设、党风廉政建设、基层组织建设、意识形态建设、精神文明建设等工作；负责纪检监察、组织人事、机构编制、队伍建设、人大、政协、统战、宣传、民族宗教、群团和离退休人员管理等工作；负责指导、管理、监督、考核基层党组织的党建工作；负责党员发展、教育、管理工作；负责统筹村（社区）党建、机关党建、“两新”党建、行业党建、区域化党建及其他隶属街道党工委的党组织建设的互联互动工作；负责村（社区）班子建设等相关工作；完成街道党工委、办事处交办的其他工作；3、综合行政执法办公室负责综合行政执法领域各项方针政策、法律法规规章的贯彻落实；负责统一指挥和统筹协调各基层站所、县级部门派出执法力量和资源，代表街道办事处履行明确赋予或授权的行政执法职责；负责管辖区域内行政执法的日常监督管理、行政复议及行政诉讼应讼工作；负责行政执法人员业务和法律法规培训工作；负责城市管理、市容市貌、环境卫生等管理工作；负责辖区巡查、综合研判、流转督办等工作；完成街道党工委、办事处交办的其他工作；4、社会事务管理办公室负责社会事业领域各项方针政策、法律法规规章的贯彻落实；负责社会化服务体系建设，拟订社会事业发展规划和年度计划并组织实施；负责社会保障、卫生健康、医疗保障、民政、退役军人、残疾人、教育体育、广播电视、文化旅游等社会事业领域的具体管理工作；负责村民自治、社区建设和管理、民主法治建设等工作；负责优抚、救灾救济、低保、五保、医疗救助和殡葬、婚姻、区划地名及社会团体等民间组织管理工作；负责重大传染病及地方病防治的统筹、组织和协调等工作；负责人口生育政策的宣传和落实；完成街道党工委、办事处交办的其他工作；5、经济发展办公室负责农业农村、经济发展、自然资源、统计等领域各项方针政策、法律法规规章的贯彻落实；负责经济发展、科学技术、交通运输、农业农村、商务经济合作、统计、扶贫开发、产业发展和项目推进等管理工作；负责拟订经济发展规划和年度计划并组织实施；负责牵头拟订乡村振兴规划和工作计划并组织实施；负责组织实施乡村振兴战略和美丽乡村建设；负责农村土地承包、集体资产、农民负担等监督管理及乡村振兴工作；负责本行政区域内农村村民住宅用地审核审批相关工作；承担集体经济发展、农村产权交易、新型主体培育、乡村治理、农村改革、集体经济组织财务代理等农村经营管理工作；负责投资促进、农村集体经济组织管理、重大项目建设管理、营商环境建设等工作，有效推进一、二、三产业协调发展；负责工业产业政策的宣传、指导和企业投资工作，负责组织开展农业、工业、服务业等统计工作；完成街道党工委、办事处交办的其他工作；6、基层治理办公室（群众工作办公室）负责牵头推进基层治理工作，统筹各方力量，构建联动推进基层治理的工作格局；负责社会治安综合治理和维护社会稳定工作的组织协调；负责平安创建和社会治安防控体系建设；负责基层治理信息收集、分析研判、风险评估、反馈办理等工作；负责国家安全、流动人口管理服务、预防青少年违法犯罪、禁毒、反邪教、重点人群管理等工作；负责信访维稳、矛盾纠纷多元化解、人民调解、行政调解和重大事项社会稳定风险评估等工作；负责依法行政、安置帮教、依法治理、法治宣传教育、法律服务等工作；依法依规协助承担社区矫正、法律援助等工作；负责指导网格化管理、物业管理工作；完成街道党工委、办事处交办的其他工作；7、财政所负责财政领域各项方针政策、法律法规规章的贯彻落实；负责编制和执行本级预算、决算草案；负责发放各项政策性补贴，监督各项资金的使用情况；负责本级财政资金收支管理及行政事业机构会计核算工作；负责管辖区域内的国有（集体）资产的管理和处置，负责本级财务管理，代管村（社区）财务等工作；负责国有资产、政府性债务管理工作；负责组织实施政府采购和招投标监督管理工作；负责财务工作的培训、指导、监督；负责单位内部审计工作；完成街道党工委、办事处交办的其他工作；8、应急管理和生态环境办公室负责生态环境保护领域各项方针政策、法律法规规章的贯彻落实；负责生态建设和环境保护工作，负责生态环境保护与宣传教育，大气、水、土壤污染防治，污染源管理，“散乱污”企业整治，“河长制”等监督管理工作；负责污染防治和节能减排的组织实施、跟踪督查工作，负责治理污染设施运转管理的监督和检查工作；负责应急管理领域各项方针政策、法律法规规章的贯彻落实；依法依规承担生产经营单位安全生产状况和消防安全的监督检查；负责管辖区域内安全生产、防灾减灾、抗震救灾、防汛抗旱、地质灾害、消防安全、森林防灭火、道路交通安全、生态环境、公共卫生、食品药品安全、动（植）物疫情等各类突发事件应急处置工作；负责安全防范和应急处置宣传教育工作；协助开展应急避难场所等基础设施建设工作；负责发布预警和灾情信息等工作；完成街道党工委、办事处交办的其他工作；9、城市建设管理办公室负责授权范围内的城镇建设发展规划和计划并组织实施；负责授权范围内的城市开发、自然资源和规划工作；负责组织并规划乡村道路等基础设施建设；受上级业务主管部门委托，严格按照有关法律、法规和规划，办理规划工程项目选址、定点、勘察、设计、监理、绘制红线图及开工放线验收及竣工验收等工作；开展建设工程质量安全指导管理；负责不动产登记工作；负责危旧房、棚户区和农村危房改造等住房保障管理工作；负责项目建设征地拆迁、补偿安置等管理工作；完成街道党工委、办事处交办的其他工作。</w:t>
      </w:r>
    </w:p>
    <w:p>
      <w:pPr>
        <w:spacing w:line="580" w:lineRule="exact"/>
        <w:ind w:firstLine="643" w:firstLineChars="200"/>
        <w:rPr>
          <w:rFonts w:hint="eastAsia" w:eastAsia="方正楷体简体"/>
          <w:b/>
          <w:sz w:val="32"/>
          <w:szCs w:val="32"/>
        </w:rPr>
      </w:pPr>
      <w:r>
        <w:rPr>
          <w:rFonts w:hint="eastAsia" w:eastAsia="方正楷体简体"/>
          <w:b/>
          <w:sz w:val="32"/>
          <w:szCs w:val="32"/>
        </w:rPr>
        <w:t>（三）人员概况</w:t>
      </w:r>
    </w:p>
    <w:p>
      <w:pPr>
        <w:spacing w:line="580" w:lineRule="exact"/>
        <w:ind w:firstLine="640" w:firstLineChars="200"/>
      </w:pPr>
      <w:r>
        <w:rPr>
          <w:rFonts w:hint="eastAsia" w:eastAsia="方正仿宋简体"/>
          <w:sz w:val="32"/>
          <w:szCs w:val="32"/>
        </w:rPr>
        <w:t>202</w:t>
      </w:r>
      <w:r>
        <w:rPr>
          <w:rFonts w:hint="eastAsia" w:eastAsia="方正仿宋简体"/>
          <w:sz w:val="32"/>
          <w:szCs w:val="32"/>
          <w:lang w:val="en-US" w:eastAsia="zh-CN"/>
        </w:rPr>
        <w:t>2</w:t>
      </w:r>
      <w:r>
        <w:rPr>
          <w:rFonts w:hint="eastAsia" w:eastAsia="方正仿宋简体"/>
          <w:sz w:val="32"/>
          <w:szCs w:val="32"/>
        </w:rPr>
        <w:t>年末共有在职人员</w:t>
      </w:r>
      <w:r>
        <w:rPr>
          <w:rFonts w:hint="eastAsia" w:eastAsia="方正仿宋简体"/>
          <w:sz w:val="32"/>
          <w:szCs w:val="32"/>
          <w:lang w:val="en-US" w:eastAsia="zh-CN"/>
        </w:rPr>
        <w:t>77</w:t>
      </w:r>
      <w:r>
        <w:rPr>
          <w:rFonts w:hint="eastAsia" w:eastAsia="方正仿宋简体"/>
          <w:sz w:val="32"/>
          <w:szCs w:val="32"/>
        </w:rPr>
        <w:t>人，其中行政编制人员</w:t>
      </w:r>
      <w:r>
        <w:rPr>
          <w:rFonts w:hint="eastAsia" w:eastAsia="方正仿宋简体"/>
          <w:sz w:val="32"/>
          <w:szCs w:val="32"/>
          <w:lang w:val="en-US" w:eastAsia="zh-CN"/>
        </w:rPr>
        <w:t>48</w:t>
      </w:r>
      <w:r>
        <w:rPr>
          <w:rFonts w:hint="eastAsia" w:eastAsia="方正仿宋简体"/>
          <w:sz w:val="32"/>
          <w:szCs w:val="32"/>
        </w:rPr>
        <w:t>人，事业编制人员</w:t>
      </w:r>
      <w:r>
        <w:rPr>
          <w:rFonts w:hint="eastAsia" w:eastAsia="方正仿宋简体"/>
          <w:sz w:val="32"/>
          <w:szCs w:val="32"/>
          <w:lang w:val="en-US" w:eastAsia="zh-CN"/>
        </w:rPr>
        <w:t>29</w:t>
      </w:r>
      <w:r>
        <w:rPr>
          <w:rFonts w:hint="eastAsia" w:eastAsia="方正仿宋简体"/>
          <w:sz w:val="32"/>
          <w:szCs w:val="32"/>
        </w:rPr>
        <w:t>人，退休人员</w:t>
      </w:r>
      <w:r>
        <w:rPr>
          <w:rFonts w:hint="eastAsia" w:eastAsia="方正仿宋简体"/>
          <w:sz w:val="32"/>
          <w:szCs w:val="32"/>
          <w:lang w:val="en-US" w:eastAsia="zh-CN"/>
        </w:rPr>
        <w:t>96</w:t>
      </w:r>
      <w:r>
        <w:rPr>
          <w:rFonts w:hint="eastAsia" w:eastAsia="方正仿宋简体"/>
          <w:sz w:val="32"/>
          <w:szCs w:val="32"/>
        </w:rPr>
        <w:t>人。</w:t>
      </w:r>
    </w:p>
    <w:p>
      <w:pPr>
        <w:spacing w:line="580" w:lineRule="exact"/>
        <w:ind w:firstLine="640" w:firstLineChars="200"/>
        <w:rPr>
          <w:rFonts w:eastAsia="方正黑体简体"/>
          <w:sz w:val="32"/>
          <w:szCs w:val="32"/>
        </w:rPr>
      </w:pPr>
      <w:r>
        <w:rPr>
          <w:rFonts w:hint="eastAsia" w:eastAsia="方正黑体简体"/>
          <w:sz w:val="32"/>
          <w:szCs w:val="32"/>
        </w:rPr>
        <w:t>二、部门财政资金收支情况</w:t>
      </w:r>
    </w:p>
    <w:p>
      <w:pPr>
        <w:spacing w:line="580" w:lineRule="exact"/>
        <w:ind w:firstLine="643" w:firstLineChars="200"/>
        <w:rPr>
          <w:rFonts w:hint="eastAsia" w:eastAsia="方正仿宋简体"/>
          <w:sz w:val="32"/>
          <w:szCs w:val="32"/>
        </w:rPr>
      </w:pPr>
      <w:r>
        <w:rPr>
          <w:rFonts w:hint="eastAsia" w:eastAsia="方正楷体简体"/>
          <w:b/>
          <w:sz w:val="32"/>
          <w:szCs w:val="32"/>
        </w:rPr>
        <w:t>（一）部门财政资金收入情况</w:t>
      </w:r>
      <w:r>
        <w:rPr>
          <w:rFonts w:hint="eastAsia" w:eastAsia="方正仿宋简体"/>
          <w:sz w:val="32"/>
          <w:szCs w:val="32"/>
        </w:rPr>
        <w:t>（以202</w:t>
      </w:r>
      <w:r>
        <w:rPr>
          <w:rFonts w:hint="eastAsia" w:eastAsia="方正仿宋简体"/>
          <w:sz w:val="32"/>
          <w:szCs w:val="32"/>
          <w:lang w:val="en-US" w:eastAsia="zh-CN"/>
        </w:rPr>
        <w:t>2</w:t>
      </w:r>
      <w:r>
        <w:rPr>
          <w:rFonts w:hint="eastAsia" w:eastAsia="方正仿宋简体"/>
          <w:sz w:val="32"/>
          <w:szCs w:val="32"/>
        </w:rPr>
        <w:t>年决算数据为统计口径）</w:t>
      </w:r>
    </w:p>
    <w:p>
      <w:pPr>
        <w:spacing w:line="580" w:lineRule="exact"/>
        <w:ind w:firstLine="640" w:firstLineChars="200"/>
        <w:rPr>
          <w:rFonts w:hint="eastAsia" w:eastAsia="方正仿宋简体"/>
          <w:sz w:val="32"/>
          <w:szCs w:val="32"/>
        </w:rPr>
      </w:pPr>
      <w:r>
        <w:rPr>
          <w:rFonts w:hint="eastAsia" w:eastAsia="方正仿宋简体"/>
          <w:sz w:val="32"/>
          <w:szCs w:val="32"/>
        </w:rPr>
        <w:t>本单位20</w:t>
      </w:r>
      <w:r>
        <w:rPr>
          <w:rFonts w:hint="eastAsia" w:eastAsia="方正仿宋简体"/>
          <w:sz w:val="32"/>
          <w:szCs w:val="32"/>
          <w:lang w:val="en-US" w:eastAsia="zh-CN"/>
        </w:rPr>
        <w:t>22</w:t>
      </w:r>
      <w:r>
        <w:rPr>
          <w:rFonts w:hint="eastAsia" w:eastAsia="方正仿宋简体"/>
          <w:sz w:val="32"/>
          <w:szCs w:val="32"/>
        </w:rPr>
        <w:t>年部门财政资金收入合计</w:t>
      </w:r>
      <w:r>
        <w:rPr>
          <w:rFonts w:hint="eastAsia" w:eastAsia="方正仿宋简体"/>
          <w:sz w:val="32"/>
          <w:szCs w:val="32"/>
          <w:lang w:val="en-US" w:eastAsia="zh-CN"/>
        </w:rPr>
        <w:t>6573.01</w:t>
      </w:r>
      <w:r>
        <w:rPr>
          <w:rFonts w:hint="eastAsia" w:eastAsia="方正仿宋简体"/>
          <w:sz w:val="32"/>
          <w:szCs w:val="32"/>
        </w:rPr>
        <w:t>万元，同比</w:t>
      </w:r>
      <w:r>
        <w:rPr>
          <w:rFonts w:hint="eastAsia" w:eastAsia="方正仿宋简体"/>
          <w:sz w:val="32"/>
          <w:szCs w:val="32"/>
          <w:lang w:eastAsia="zh-CN"/>
        </w:rPr>
        <w:t>上升</w:t>
      </w:r>
      <w:r>
        <w:rPr>
          <w:rFonts w:hint="eastAsia" w:eastAsia="方正仿宋简体"/>
          <w:sz w:val="32"/>
          <w:szCs w:val="32"/>
          <w:lang w:val="en-US" w:eastAsia="zh-CN"/>
        </w:rPr>
        <w:t>28.05</w:t>
      </w:r>
      <w:r>
        <w:rPr>
          <w:rFonts w:hint="eastAsia" w:eastAsia="方正仿宋简体"/>
          <w:sz w:val="32"/>
          <w:szCs w:val="32"/>
        </w:rPr>
        <w:t>%，其中：上年结转0万元，占0%；一般公共预算财政拨款收入</w:t>
      </w:r>
      <w:r>
        <w:rPr>
          <w:rFonts w:hint="eastAsia" w:eastAsia="方正仿宋简体"/>
          <w:sz w:val="32"/>
          <w:szCs w:val="32"/>
          <w:lang w:val="en-US" w:eastAsia="zh-CN"/>
        </w:rPr>
        <w:t>6562.35</w:t>
      </w:r>
      <w:r>
        <w:rPr>
          <w:rFonts w:hint="eastAsia" w:eastAsia="方正仿宋简体"/>
          <w:sz w:val="32"/>
          <w:szCs w:val="32"/>
        </w:rPr>
        <w:t>万元，占99.</w:t>
      </w:r>
      <w:r>
        <w:rPr>
          <w:rFonts w:hint="eastAsia" w:eastAsia="方正仿宋简体"/>
          <w:sz w:val="32"/>
          <w:szCs w:val="32"/>
          <w:lang w:val="en-US" w:eastAsia="zh-CN"/>
        </w:rPr>
        <w:t>84</w:t>
      </w:r>
      <w:r>
        <w:rPr>
          <w:rFonts w:hint="eastAsia" w:eastAsia="方正仿宋简体"/>
          <w:sz w:val="32"/>
          <w:szCs w:val="32"/>
        </w:rPr>
        <w:t>%，同比</w:t>
      </w:r>
      <w:r>
        <w:rPr>
          <w:rFonts w:hint="eastAsia" w:eastAsia="方正仿宋简体"/>
          <w:sz w:val="32"/>
          <w:szCs w:val="32"/>
          <w:lang w:eastAsia="zh-CN"/>
        </w:rPr>
        <w:t>上升</w:t>
      </w:r>
      <w:r>
        <w:rPr>
          <w:rFonts w:hint="eastAsia" w:eastAsia="方正仿宋简体"/>
          <w:sz w:val="32"/>
          <w:szCs w:val="32"/>
          <w:lang w:val="en-US" w:eastAsia="zh-CN"/>
        </w:rPr>
        <w:t>28.84</w:t>
      </w:r>
      <w:r>
        <w:rPr>
          <w:rFonts w:hint="eastAsia" w:eastAsia="方正仿宋简体"/>
          <w:sz w:val="32"/>
          <w:szCs w:val="32"/>
        </w:rPr>
        <w:t>%；政府性基金预算财政拨款收入</w:t>
      </w:r>
      <w:r>
        <w:rPr>
          <w:rFonts w:hint="eastAsia" w:eastAsia="方正仿宋简体"/>
          <w:sz w:val="32"/>
          <w:szCs w:val="32"/>
          <w:lang w:val="en-US" w:eastAsia="zh-CN"/>
        </w:rPr>
        <w:t>10.66</w:t>
      </w:r>
      <w:r>
        <w:rPr>
          <w:rFonts w:hint="eastAsia" w:eastAsia="方正仿宋简体"/>
          <w:sz w:val="32"/>
          <w:szCs w:val="32"/>
        </w:rPr>
        <w:t>万元，占</w:t>
      </w:r>
      <w:r>
        <w:rPr>
          <w:rFonts w:hint="eastAsia" w:eastAsia="方正仿宋简体"/>
          <w:sz w:val="32"/>
          <w:szCs w:val="32"/>
          <w:lang w:val="en-US" w:eastAsia="zh-CN"/>
        </w:rPr>
        <w:t>0.16</w:t>
      </w:r>
      <w:r>
        <w:rPr>
          <w:rFonts w:hint="eastAsia" w:eastAsia="方正仿宋简体"/>
          <w:sz w:val="32"/>
          <w:szCs w:val="32"/>
        </w:rPr>
        <w:t>%，同比下降</w:t>
      </w:r>
      <w:r>
        <w:rPr>
          <w:rFonts w:hint="eastAsia" w:eastAsia="方正仿宋简体"/>
          <w:sz w:val="32"/>
          <w:szCs w:val="32"/>
          <w:lang w:val="en-US" w:eastAsia="zh-CN"/>
        </w:rPr>
        <w:t>0.62</w:t>
      </w:r>
      <w:r>
        <w:rPr>
          <w:rFonts w:hint="eastAsia" w:eastAsia="方正仿宋简体"/>
          <w:sz w:val="32"/>
          <w:szCs w:val="32"/>
        </w:rPr>
        <w:t>%。</w:t>
      </w:r>
    </w:p>
    <w:p>
      <w:pPr>
        <w:pStyle w:val="2"/>
        <w:rPr>
          <w:rFonts w:hint="eastAsia"/>
        </w:rPr>
      </w:pPr>
    </w:p>
    <w:p>
      <w:pPr>
        <w:spacing w:line="580" w:lineRule="exact"/>
        <w:ind w:firstLine="643" w:firstLineChars="200"/>
        <w:rPr>
          <w:rFonts w:hint="eastAsia" w:eastAsia="方正楷体简体"/>
          <w:b/>
          <w:sz w:val="32"/>
          <w:szCs w:val="32"/>
        </w:rPr>
      </w:pPr>
      <w:r>
        <w:rPr>
          <w:rFonts w:hint="eastAsia" w:eastAsia="方正楷体简体"/>
          <w:b/>
          <w:sz w:val="32"/>
          <w:szCs w:val="32"/>
          <w:lang w:eastAsia="zh-CN"/>
        </w:rPr>
        <w:t>（二）</w:t>
      </w:r>
      <w:r>
        <w:rPr>
          <w:rFonts w:hint="eastAsia" w:eastAsia="方正楷体简体"/>
          <w:b/>
          <w:sz w:val="32"/>
          <w:szCs w:val="32"/>
        </w:rPr>
        <w:t>部门财政资金支出情况</w:t>
      </w:r>
      <w:r>
        <w:rPr>
          <w:rFonts w:hint="eastAsia" w:eastAsia="方正仿宋简体"/>
          <w:sz w:val="32"/>
          <w:szCs w:val="32"/>
        </w:rPr>
        <w:t>（以202</w:t>
      </w:r>
      <w:r>
        <w:rPr>
          <w:rFonts w:hint="eastAsia" w:eastAsia="方正仿宋简体"/>
          <w:sz w:val="32"/>
          <w:szCs w:val="32"/>
          <w:lang w:val="en-US" w:eastAsia="zh-CN"/>
        </w:rPr>
        <w:t>2</w:t>
      </w:r>
      <w:r>
        <w:rPr>
          <w:rFonts w:hint="eastAsia" w:eastAsia="方正仿宋简体"/>
          <w:sz w:val="32"/>
          <w:szCs w:val="32"/>
        </w:rPr>
        <w:t>年决算数据为统计口径）</w:t>
      </w:r>
    </w:p>
    <w:p>
      <w:pPr>
        <w:spacing w:line="580" w:lineRule="exact"/>
        <w:ind w:firstLine="640" w:firstLineChars="200"/>
        <w:rPr>
          <w:rFonts w:hint="eastAsia" w:eastAsia="方正仿宋简体"/>
          <w:sz w:val="32"/>
          <w:szCs w:val="32"/>
        </w:rPr>
      </w:pPr>
      <w:r>
        <w:rPr>
          <w:rFonts w:hint="eastAsia" w:eastAsia="方正仿宋简体"/>
          <w:sz w:val="32"/>
          <w:szCs w:val="32"/>
        </w:rPr>
        <w:t>本单位202</w:t>
      </w:r>
      <w:r>
        <w:rPr>
          <w:rFonts w:hint="eastAsia" w:eastAsia="方正仿宋简体"/>
          <w:sz w:val="32"/>
          <w:szCs w:val="32"/>
          <w:lang w:val="en-US" w:eastAsia="zh-CN"/>
        </w:rPr>
        <w:t>2</w:t>
      </w:r>
      <w:r>
        <w:rPr>
          <w:rFonts w:hint="eastAsia" w:eastAsia="方正仿宋简体"/>
          <w:sz w:val="32"/>
          <w:szCs w:val="32"/>
        </w:rPr>
        <w:t>年部门财政资金支出合计</w:t>
      </w:r>
      <w:r>
        <w:rPr>
          <w:rFonts w:hint="eastAsia" w:eastAsia="方正仿宋简体"/>
          <w:sz w:val="32"/>
          <w:szCs w:val="32"/>
          <w:lang w:val="en-US" w:eastAsia="zh-CN"/>
        </w:rPr>
        <w:t>6573.01</w:t>
      </w:r>
      <w:r>
        <w:rPr>
          <w:rFonts w:hint="eastAsia" w:eastAsia="方正仿宋简体"/>
          <w:sz w:val="32"/>
          <w:szCs w:val="32"/>
        </w:rPr>
        <w:t>万元，同比</w:t>
      </w:r>
      <w:r>
        <w:rPr>
          <w:rFonts w:hint="eastAsia" w:eastAsia="方正仿宋简体"/>
          <w:sz w:val="32"/>
          <w:szCs w:val="32"/>
          <w:lang w:eastAsia="zh-CN"/>
        </w:rPr>
        <w:t>上升</w:t>
      </w:r>
      <w:r>
        <w:rPr>
          <w:rFonts w:hint="eastAsia" w:eastAsia="方正仿宋简体"/>
          <w:sz w:val="32"/>
          <w:szCs w:val="32"/>
          <w:lang w:val="en-US" w:eastAsia="zh-CN"/>
        </w:rPr>
        <w:t>28.05</w:t>
      </w:r>
      <w:r>
        <w:rPr>
          <w:rFonts w:hint="eastAsia" w:eastAsia="方正仿宋简体"/>
          <w:sz w:val="32"/>
          <w:szCs w:val="32"/>
        </w:rPr>
        <w:t>%</w:t>
      </w:r>
      <w:r>
        <w:rPr>
          <w:rFonts w:hint="eastAsia" w:eastAsia="方正仿宋简体"/>
          <w:sz w:val="32"/>
          <w:szCs w:val="32"/>
          <w:lang w:eastAsia="zh-CN"/>
        </w:rPr>
        <w:t>，</w:t>
      </w:r>
      <w:r>
        <w:rPr>
          <w:rFonts w:hint="eastAsia" w:eastAsia="方正仿宋简体"/>
          <w:sz w:val="32"/>
          <w:szCs w:val="32"/>
        </w:rPr>
        <w:t>其中：一般公共服务支出</w:t>
      </w:r>
      <w:r>
        <w:rPr>
          <w:rFonts w:hint="eastAsia" w:eastAsia="方正仿宋简体"/>
          <w:sz w:val="32"/>
          <w:szCs w:val="32"/>
          <w:lang w:val="en-US" w:eastAsia="zh-CN"/>
        </w:rPr>
        <w:t>791.24</w:t>
      </w:r>
      <w:r>
        <w:rPr>
          <w:rFonts w:hint="eastAsia" w:eastAsia="方正仿宋简体"/>
          <w:sz w:val="32"/>
          <w:szCs w:val="32"/>
        </w:rPr>
        <w:t>万元，占12.</w:t>
      </w:r>
      <w:r>
        <w:rPr>
          <w:rFonts w:hint="eastAsia" w:eastAsia="方正仿宋简体"/>
          <w:sz w:val="32"/>
          <w:szCs w:val="32"/>
          <w:lang w:val="en-US" w:eastAsia="zh-CN"/>
        </w:rPr>
        <w:t>04</w:t>
      </w:r>
      <w:r>
        <w:rPr>
          <w:rFonts w:hint="eastAsia" w:eastAsia="方正仿宋简体"/>
          <w:sz w:val="32"/>
          <w:szCs w:val="32"/>
        </w:rPr>
        <w:t>%；国防支出</w:t>
      </w:r>
      <w:r>
        <w:rPr>
          <w:rFonts w:hint="eastAsia" w:eastAsia="方正仿宋简体"/>
          <w:sz w:val="32"/>
          <w:szCs w:val="32"/>
          <w:lang w:val="en-US" w:eastAsia="zh-CN"/>
        </w:rPr>
        <w:t>2</w:t>
      </w:r>
      <w:r>
        <w:rPr>
          <w:rFonts w:hint="eastAsia" w:eastAsia="方正仿宋简体"/>
          <w:sz w:val="32"/>
          <w:szCs w:val="32"/>
        </w:rPr>
        <w:t>万元，占</w:t>
      </w:r>
      <w:r>
        <w:rPr>
          <w:rFonts w:hint="eastAsia" w:eastAsia="方正仿宋简体"/>
          <w:sz w:val="32"/>
          <w:szCs w:val="32"/>
          <w:lang w:val="en-US" w:eastAsia="zh-CN"/>
        </w:rPr>
        <w:t>0.03</w:t>
      </w:r>
      <w:r>
        <w:rPr>
          <w:rFonts w:hint="eastAsia" w:eastAsia="方正仿宋简体"/>
          <w:sz w:val="32"/>
          <w:szCs w:val="32"/>
        </w:rPr>
        <w:t>%；文化旅游体育与传媒支出</w:t>
      </w:r>
      <w:r>
        <w:rPr>
          <w:rFonts w:hint="eastAsia" w:eastAsia="方正仿宋简体"/>
          <w:sz w:val="32"/>
          <w:szCs w:val="32"/>
          <w:lang w:val="en-US" w:eastAsia="zh-CN"/>
        </w:rPr>
        <w:t>166.29</w:t>
      </w:r>
      <w:r>
        <w:rPr>
          <w:rFonts w:hint="eastAsia" w:eastAsia="方正仿宋简体"/>
          <w:sz w:val="32"/>
          <w:szCs w:val="32"/>
        </w:rPr>
        <w:t>万元，占</w:t>
      </w:r>
      <w:r>
        <w:rPr>
          <w:rFonts w:hint="eastAsia" w:eastAsia="方正仿宋简体"/>
          <w:sz w:val="32"/>
          <w:szCs w:val="32"/>
          <w:lang w:val="en-US" w:eastAsia="zh-CN"/>
        </w:rPr>
        <w:t>2.53</w:t>
      </w:r>
      <w:r>
        <w:rPr>
          <w:rFonts w:hint="eastAsia" w:eastAsia="方正仿宋简体"/>
          <w:sz w:val="32"/>
          <w:szCs w:val="32"/>
        </w:rPr>
        <w:t>%；社会保障和就业支出</w:t>
      </w:r>
      <w:r>
        <w:rPr>
          <w:rFonts w:hint="eastAsia" w:eastAsia="方正仿宋简体"/>
          <w:sz w:val="32"/>
          <w:szCs w:val="32"/>
          <w:lang w:val="en-US" w:eastAsia="zh-CN"/>
        </w:rPr>
        <w:t>2722.77</w:t>
      </w:r>
      <w:r>
        <w:rPr>
          <w:rFonts w:hint="eastAsia" w:eastAsia="方正仿宋简体"/>
          <w:sz w:val="32"/>
          <w:szCs w:val="32"/>
        </w:rPr>
        <w:t>万元，占</w:t>
      </w:r>
      <w:r>
        <w:rPr>
          <w:rFonts w:hint="eastAsia" w:eastAsia="方正仿宋简体"/>
          <w:sz w:val="32"/>
          <w:szCs w:val="32"/>
          <w:lang w:val="en-US" w:eastAsia="zh-CN"/>
        </w:rPr>
        <w:t>41.42</w:t>
      </w:r>
      <w:r>
        <w:rPr>
          <w:rFonts w:hint="eastAsia" w:eastAsia="方正仿宋简体"/>
          <w:sz w:val="32"/>
          <w:szCs w:val="32"/>
        </w:rPr>
        <w:t>%；卫生健康支出</w:t>
      </w:r>
      <w:r>
        <w:rPr>
          <w:rFonts w:hint="eastAsia" w:eastAsia="方正仿宋简体"/>
          <w:sz w:val="32"/>
          <w:szCs w:val="32"/>
          <w:lang w:val="en-US" w:eastAsia="zh-CN"/>
        </w:rPr>
        <w:t>1554.21</w:t>
      </w:r>
      <w:r>
        <w:rPr>
          <w:rFonts w:hint="eastAsia" w:eastAsia="方正仿宋简体"/>
          <w:sz w:val="32"/>
          <w:szCs w:val="32"/>
        </w:rPr>
        <w:t>万元，占</w:t>
      </w:r>
      <w:r>
        <w:rPr>
          <w:rFonts w:hint="eastAsia" w:eastAsia="方正仿宋简体"/>
          <w:sz w:val="32"/>
          <w:szCs w:val="32"/>
          <w:lang w:val="en-US" w:eastAsia="zh-CN"/>
        </w:rPr>
        <w:t>23.65</w:t>
      </w:r>
      <w:r>
        <w:rPr>
          <w:rFonts w:hint="eastAsia" w:eastAsia="方正仿宋简体"/>
          <w:sz w:val="32"/>
          <w:szCs w:val="32"/>
        </w:rPr>
        <w:t>%；城乡社区支出</w:t>
      </w:r>
      <w:r>
        <w:rPr>
          <w:rFonts w:hint="eastAsia" w:eastAsia="方正仿宋简体"/>
          <w:sz w:val="32"/>
          <w:szCs w:val="32"/>
          <w:lang w:val="en-US" w:eastAsia="zh-CN"/>
        </w:rPr>
        <w:t>55.43</w:t>
      </w:r>
      <w:r>
        <w:rPr>
          <w:rFonts w:hint="eastAsia" w:eastAsia="方正仿宋简体"/>
          <w:sz w:val="32"/>
          <w:szCs w:val="32"/>
        </w:rPr>
        <w:t>万元，占</w:t>
      </w:r>
      <w:r>
        <w:rPr>
          <w:rFonts w:hint="eastAsia" w:eastAsia="方正仿宋简体"/>
          <w:sz w:val="32"/>
          <w:szCs w:val="32"/>
          <w:lang w:val="en-US" w:eastAsia="zh-CN"/>
        </w:rPr>
        <w:t>0.84</w:t>
      </w:r>
      <w:r>
        <w:rPr>
          <w:rFonts w:hint="eastAsia" w:eastAsia="方正仿宋简体"/>
          <w:sz w:val="32"/>
          <w:szCs w:val="32"/>
        </w:rPr>
        <w:t>%；农林水支出</w:t>
      </w:r>
      <w:r>
        <w:rPr>
          <w:rFonts w:hint="eastAsia" w:eastAsia="方正仿宋简体"/>
          <w:sz w:val="32"/>
          <w:szCs w:val="32"/>
          <w:lang w:val="en-US" w:eastAsia="zh-CN"/>
        </w:rPr>
        <w:t>1136.47</w:t>
      </w:r>
      <w:r>
        <w:rPr>
          <w:rFonts w:hint="eastAsia" w:eastAsia="方正仿宋简体"/>
          <w:sz w:val="32"/>
          <w:szCs w:val="32"/>
        </w:rPr>
        <w:t>万元，占</w:t>
      </w:r>
      <w:r>
        <w:rPr>
          <w:rFonts w:hint="eastAsia" w:eastAsia="方正仿宋简体"/>
          <w:sz w:val="32"/>
          <w:szCs w:val="32"/>
          <w:lang w:val="en-US" w:eastAsia="zh-CN"/>
        </w:rPr>
        <w:t>17.29</w:t>
      </w:r>
      <w:r>
        <w:rPr>
          <w:rFonts w:hint="eastAsia" w:eastAsia="方正仿宋简体"/>
          <w:sz w:val="32"/>
          <w:szCs w:val="32"/>
        </w:rPr>
        <w:t>%；交通运输支出</w:t>
      </w:r>
      <w:r>
        <w:rPr>
          <w:rFonts w:hint="eastAsia" w:eastAsia="方正仿宋简体"/>
          <w:sz w:val="32"/>
          <w:szCs w:val="32"/>
          <w:lang w:val="en-US" w:eastAsia="zh-CN"/>
        </w:rPr>
        <w:t>1</w:t>
      </w:r>
      <w:r>
        <w:rPr>
          <w:rFonts w:hint="eastAsia" w:eastAsia="方正仿宋简体"/>
          <w:sz w:val="32"/>
          <w:szCs w:val="32"/>
        </w:rPr>
        <w:t>万元，占</w:t>
      </w:r>
      <w:r>
        <w:rPr>
          <w:rFonts w:hint="eastAsia" w:eastAsia="方正仿宋简体"/>
          <w:sz w:val="32"/>
          <w:szCs w:val="32"/>
          <w:lang w:val="en-US" w:eastAsia="zh-CN"/>
        </w:rPr>
        <w:t>0.02</w:t>
      </w:r>
      <w:r>
        <w:rPr>
          <w:rFonts w:hint="eastAsia" w:eastAsia="方正仿宋简体"/>
          <w:sz w:val="32"/>
          <w:szCs w:val="32"/>
        </w:rPr>
        <w:t>%；住房保障支出</w:t>
      </w:r>
      <w:r>
        <w:rPr>
          <w:rFonts w:hint="eastAsia" w:eastAsia="方正仿宋简体"/>
          <w:sz w:val="32"/>
          <w:szCs w:val="32"/>
          <w:lang w:val="en-US" w:eastAsia="zh-CN"/>
        </w:rPr>
        <w:t>104.60</w:t>
      </w:r>
      <w:r>
        <w:rPr>
          <w:rFonts w:hint="eastAsia" w:eastAsia="方正仿宋简体"/>
          <w:sz w:val="32"/>
          <w:szCs w:val="32"/>
        </w:rPr>
        <w:t>万元，占</w:t>
      </w:r>
      <w:r>
        <w:rPr>
          <w:rFonts w:hint="eastAsia" w:eastAsia="方正仿宋简体"/>
          <w:sz w:val="32"/>
          <w:szCs w:val="32"/>
          <w:lang w:val="en-US" w:eastAsia="zh-CN"/>
        </w:rPr>
        <w:t>1.59</w:t>
      </w:r>
      <w:r>
        <w:rPr>
          <w:rFonts w:hint="eastAsia" w:eastAsia="方正仿宋简体"/>
          <w:sz w:val="32"/>
          <w:szCs w:val="32"/>
        </w:rPr>
        <w:t>%；灾害防治及应急管理支出</w:t>
      </w:r>
      <w:r>
        <w:rPr>
          <w:rFonts w:hint="eastAsia" w:eastAsia="方正仿宋简体"/>
          <w:sz w:val="32"/>
          <w:szCs w:val="32"/>
          <w:lang w:val="en-US" w:eastAsia="zh-CN"/>
        </w:rPr>
        <w:t>15</w:t>
      </w:r>
      <w:r>
        <w:rPr>
          <w:rFonts w:hint="eastAsia" w:eastAsia="方正仿宋简体"/>
          <w:sz w:val="32"/>
          <w:szCs w:val="32"/>
        </w:rPr>
        <w:t>万元，0.2</w:t>
      </w:r>
      <w:r>
        <w:rPr>
          <w:rFonts w:hint="eastAsia" w:eastAsia="方正仿宋简体"/>
          <w:sz w:val="32"/>
          <w:szCs w:val="32"/>
          <w:lang w:val="en-US" w:eastAsia="zh-CN"/>
        </w:rPr>
        <w:t>3</w:t>
      </w:r>
      <w:r>
        <w:rPr>
          <w:rFonts w:hint="eastAsia" w:eastAsia="方正仿宋简体"/>
          <w:sz w:val="32"/>
          <w:szCs w:val="32"/>
        </w:rPr>
        <w:t>%；其他支出</w:t>
      </w:r>
      <w:r>
        <w:rPr>
          <w:rFonts w:hint="eastAsia" w:eastAsia="方正仿宋简体"/>
          <w:sz w:val="32"/>
          <w:szCs w:val="32"/>
          <w:lang w:val="en-US" w:eastAsia="zh-CN"/>
        </w:rPr>
        <w:t>24</w:t>
      </w:r>
      <w:r>
        <w:rPr>
          <w:rFonts w:hint="eastAsia" w:eastAsia="方正仿宋简体"/>
          <w:sz w:val="32"/>
          <w:szCs w:val="32"/>
        </w:rPr>
        <w:t>万元，占0.</w:t>
      </w:r>
      <w:r>
        <w:rPr>
          <w:rFonts w:hint="eastAsia" w:eastAsia="方正仿宋简体"/>
          <w:sz w:val="32"/>
          <w:szCs w:val="32"/>
          <w:lang w:val="en-US" w:eastAsia="zh-CN"/>
        </w:rPr>
        <w:t>36</w:t>
      </w:r>
      <w:r>
        <w:rPr>
          <w:rFonts w:hint="eastAsia" w:eastAsia="方正仿宋简体"/>
          <w:sz w:val="32"/>
          <w:szCs w:val="32"/>
        </w:rPr>
        <w:t>%。</w:t>
      </w:r>
    </w:p>
    <w:p>
      <w:pPr>
        <w:spacing w:line="580" w:lineRule="exact"/>
        <w:ind w:firstLine="640" w:firstLineChars="200"/>
        <w:rPr>
          <w:rFonts w:eastAsia="方正黑体简体"/>
          <w:sz w:val="32"/>
          <w:szCs w:val="32"/>
        </w:rPr>
      </w:pPr>
      <w:r>
        <w:rPr>
          <w:rFonts w:hint="eastAsia" w:eastAsia="方正黑体简体"/>
          <w:sz w:val="32"/>
          <w:szCs w:val="32"/>
        </w:rPr>
        <w:t>三、评价工作开展情况</w:t>
      </w:r>
    </w:p>
    <w:p>
      <w:pPr>
        <w:spacing w:line="580" w:lineRule="exact"/>
        <w:ind w:firstLine="643" w:firstLineChars="200"/>
        <w:rPr>
          <w:rFonts w:hint="eastAsia" w:eastAsia="方正楷体简体"/>
          <w:b/>
          <w:sz w:val="32"/>
          <w:szCs w:val="32"/>
        </w:rPr>
      </w:pPr>
      <w:r>
        <w:rPr>
          <w:rFonts w:hint="eastAsia" w:eastAsia="方正楷体简体"/>
          <w:b/>
          <w:sz w:val="32"/>
          <w:szCs w:val="32"/>
        </w:rPr>
        <w:t>（一）自评工作组织领导</w:t>
      </w:r>
    </w:p>
    <w:p>
      <w:pPr>
        <w:spacing w:line="580" w:lineRule="exact"/>
        <w:ind w:firstLine="640" w:firstLineChars="200"/>
        <w:rPr>
          <w:rFonts w:hint="eastAsia" w:eastAsia="方正仿宋简体"/>
          <w:sz w:val="32"/>
          <w:szCs w:val="32"/>
        </w:rPr>
      </w:pPr>
      <w:r>
        <w:rPr>
          <w:rFonts w:hint="eastAsia" w:eastAsia="方正仿宋简体"/>
          <w:sz w:val="32"/>
          <w:szCs w:val="32"/>
        </w:rPr>
        <w:t>根据县财政局要求，乐至县南塔街道办事处为了开展202</w:t>
      </w:r>
      <w:r>
        <w:rPr>
          <w:rFonts w:hint="eastAsia" w:eastAsia="方正仿宋简体"/>
          <w:sz w:val="32"/>
          <w:szCs w:val="32"/>
          <w:lang w:val="en-US" w:eastAsia="zh-CN"/>
        </w:rPr>
        <w:t>2</w:t>
      </w:r>
      <w:r>
        <w:rPr>
          <w:rFonts w:hint="eastAsia" w:eastAsia="方正仿宋简体"/>
          <w:sz w:val="32"/>
          <w:szCs w:val="32"/>
        </w:rPr>
        <w:t>年本单位部门整体支出绩效自评工作决定成立相关工作小组。组长:田洪兵，副组长：宋权峰，组员：</w:t>
      </w:r>
      <w:r>
        <w:rPr>
          <w:rFonts w:hint="eastAsia" w:eastAsia="方正仿宋简体"/>
          <w:sz w:val="32"/>
          <w:szCs w:val="32"/>
          <w:lang w:eastAsia="zh-CN"/>
        </w:rPr>
        <w:t>李杨琼、</w:t>
      </w:r>
      <w:r>
        <w:rPr>
          <w:rFonts w:hint="eastAsia" w:eastAsia="方正仿宋简体"/>
          <w:sz w:val="32"/>
          <w:szCs w:val="32"/>
        </w:rPr>
        <w:t>张景毅、邓诏雯、任孟初、杨辛怡。</w:t>
      </w:r>
    </w:p>
    <w:p>
      <w:pPr>
        <w:numPr>
          <w:ilvl w:val="0"/>
          <w:numId w:val="1"/>
        </w:numPr>
        <w:spacing w:line="580" w:lineRule="exact"/>
        <w:ind w:left="-13" w:leftChars="0" w:firstLine="643" w:firstLineChars="0"/>
        <w:rPr>
          <w:rFonts w:hint="eastAsia" w:eastAsia="方正楷体简体"/>
          <w:b/>
          <w:sz w:val="32"/>
          <w:szCs w:val="32"/>
        </w:rPr>
      </w:pPr>
      <w:r>
        <w:rPr>
          <w:rFonts w:hint="eastAsia" w:eastAsia="方正楷体简体"/>
          <w:b/>
          <w:sz w:val="32"/>
          <w:szCs w:val="32"/>
        </w:rPr>
        <w:t>自评方式、方法、重点等</w:t>
      </w:r>
    </w:p>
    <w:p>
      <w:pPr>
        <w:spacing w:line="580" w:lineRule="exact"/>
        <w:ind w:firstLine="640" w:firstLineChars="200"/>
        <w:rPr>
          <w:rFonts w:hint="eastAsia" w:eastAsia="方正仿宋简体"/>
          <w:sz w:val="32"/>
          <w:szCs w:val="32"/>
        </w:rPr>
      </w:pPr>
      <w:r>
        <w:rPr>
          <w:rFonts w:hint="eastAsia" w:eastAsia="方正仿宋简体"/>
          <w:sz w:val="32"/>
          <w:szCs w:val="32"/>
        </w:rPr>
        <w:t>本次自评工作重点为南塔街道办事处九个职能部门202</w:t>
      </w:r>
      <w:r>
        <w:rPr>
          <w:rFonts w:hint="eastAsia" w:eastAsia="方正仿宋简体"/>
          <w:sz w:val="32"/>
          <w:szCs w:val="32"/>
          <w:lang w:val="en-US" w:eastAsia="zh-CN"/>
        </w:rPr>
        <w:t>2</w:t>
      </w:r>
      <w:r>
        <w:rPr>
          <w:rFonts w:hint="eastAsia" w:eastAsia="方正仿宋简体"/>
          <w:sz w:val="32"/>
          <w:szCs w:val="32"/>
        </w:rPr>
        <w:t>年各项工作目标任务完成情况。工作小组根据南塔街道办九个职能部门年度各项工作目标设立了完整、客观和科学的202</w:t>
      </w:r>
      <w:r>
        <w:rPr>
          <w:rFonts w:hint="eastAsia" w:eastAsia="方正仿宋简体"/>
          <w:sz w:val="32"/>
          <w:szCs w:val="32"/>
          <w:lang w:val="en-US" w:eastAsia="zh-CN"/>
        </w:rPr>
        <w:t>2</w:t>
      </w:r>
      <w:r>
        <w:rPr>
          <w:rFonts w:hint="eastAsia" w:eastAsia="方正仿宋简体"/>
          <w:sz w:val="32"/>
          <w:szCs w:val="32"/>
        </w:rPr>
        <w:t>年度部门整体支出绩效指标，共有一级指</w:t>
      </w:r>
      <w:r>
        <w:rPr>
          <w:rFonts w:hint="eastAsia" w:eastAsia="方正仿宋简体"/>
          <w:sz w:val="32"/>
          <w:szCs w:val="32"/>
          <w:highlight w:val="none"/>
        </w:rPr>
        <w:t>标3个，二级指标6个</w:t>
      </w:r>
      <w:r>
        <w:rPr>
          <w:rFonts w:hint="eastAsia" w:eastAsia="方正仿宋简体"/>
          <w:sz w:val="32"/>
          <w:szCs w:val="32"/>
        </w:rPr>
        <w:t>，三级指标</w:t>
      </w:r>
      <w:r>
        <w:rPr>
          <w:rFonts w:hint="eastAsia" w:eastAsia="方正仿宋简体"/>
          <w:sz w:val="32"/>
          <w:szCs w:val="32"/>
          <w:highlight w:val="none"/>
          <w:lang w:val="en-US" w:eastAsia="zh-CN"/>
        </w:rPr>
        <w:t>78</w:t>
      </w:r>
      <w:r>
        <w:rPr>
          <w:rFonts w:hint="eastAsia" w:eastAsia="方正仿宋简体"/>
          <w:sz w:val="32"/>
          <w:szCs w:val="32"/>
        </w:rPr>
        <w:t>个，具体情况详见附件</w:t>
      </w:r>
      <w:r>
        <w:rPr>
          <w:rFonts w:hint="eastAsia" w:eastAsia="方正仿宋简体"/>
          <w:sz w:val="32"/>
          <w:szCs w:val="32"/>
          <w:highlight w:val="none"/>
        </w:rPr>
        <w:t>3-2</w:t>
      </w:r>
      <w:r>
        <w:rPr>
          <w:rFonts w:hint="eastAsia" w:eastAsia="方正仿宋简体"/>
          <w:sz w:val="32"/>
          <w:szCs w:val="32"/>
        </w:rPr>
        <w:t>。我单位严格按照预算管理的相关规定和乐至县部门预算编制要求，科学合理地编制预算，按时完成202</w:t>
      </w:r>
      <w:r>
        <w:rPr>
          <w:rFonts w:hint="eastAsia" w:eastAsia="方正仿宋简体"/>
          <w:sz w:val="32"/>
          <w:szCs w:val="32"/>
          <w:lang w:val="en-US" w:eastAsia="zh-CN"/>
        </w:rPr>
        <w:t>2</w:t>
      </w:r>
      <w:r>
        <w:rPr>
          <w:rFonts w:hint="eastAsia" w:eastAsia="方正仿宋简体"/>
          <w:sz w:val="32"/>
          <w:szCs w:val="32"/>
        </w:rPr>
        <w:t>年部门绩效目标自评工作。</w:t>
      </w:r>
    </w:p>
    <w:p>
      <w:pPr>
        <w:spacing w:line="580" w:lineRule="exact"/>
        <w:ind w:firstLine="640" w:firstLineChars="200"/>
      </w:pPr>
      <w:r>
        <w:rPr>
          <w:rFonts w:hint="eastAsia" w:eastAsia="方正仿宋简体"/>
          <w:sz w:val="32"/>
          <w:szCs w:val="32"/>
        </w:rPr>
        <w:t>评价目的：街道办事</w:t>
      </w:r>
      <w:bookmarkStart w:id="0" w:name="_GoBack"/>
      <w:bookmarkEnd w:id="0"/>
      <w:r>
        <w:rPr>
          <w:rFonts w:hint="eastAsia" w:eastAsia="方正仿宋简体"/>
          <w:sz w:val="32"/>
          <w:szCs w:val="32"/>
        </w:rPr>
        <w:t>处通过收集本单位基本情况、预算制定与明细、部门中长期规划目标及组织架构等信息，分析本单位资源配置的合理性及中长期规划目标完成与履职情况，总结经验做法，找出预算绩效管理中的薄弱环节，提出改进建议，提高财政资金的使用效益。</w:t>
      </w:r>
    </w:p>
    <w:p>
      <w:pPr>
        <w:spacing w:line="580" w:lineRule="exact"/>
        <w:ind w:firstLine="640" w:firstLineChars="200"/>
        <w:rPr>
          <w:rFonts w:eastAsia="方正黑体简体"/>
          <w:sz w:val="32"/>
          <w:szCs w:val="32"/>
        </w:rPr>
      </w:pPr>
      <w:r>
        <w:rPr>
          <w:rFonts w:hint="eastAsia" w:eastAsia="方正黑体简体"/>
          <w:sz w:val="32"/>
          <w:szCs w:val="32"/>
        </w:rPr>
        <w:t>四、评价结论</w:t>
      </w:r>
    </w:p>
    <w:p>
      <w:pPr>
        <w:spacing w:line="580" w:lineRule="exact"/>
        <w:ind w:firstLine="640" w:firstLineChars="200"/>
        <w:rPr>
          <w:rFonts w:hint="eastAsia" w:eastAsia="方正仿宋简体"/>
          <w:sz w:val="32"/>
          <w:szCs w:val="32"/>
        </w:rPr>
      </w:pPr>
      <w:r>
        <w:rPr>
          <w:rFonts w:hint="eastAsia" w:eastAsia="方正仿宋简体"/>
          <w:sz w:val="32"/>
          <w:szCs w:val="32"/>
        </w:rPr>
        <w:t>评价结果:街道办事处20</w:t>
      </w:r>
      <w:r>
        <w:rPr>
          <w:rFonts w:hint="eastAsia" w:eastAsia="方正仿宋简体"/>
          <w:sz w:val="32"/>
          <w:szCs w:val="32"/>
          <w:lang w:val="en-US" w:eastAsia="zh-CN"/>
        </w:rPr>
        <w:t>22</w:t>
      </w:r>
      <w:r>
        <w:rPr>
          <w:rFonts w:hint="eastAsia" w:eastAsia="方正仿宋简体"/>
          <w:sz w:val="32"/>
          <w:szCs w:val="32"/>
        </w:rPr>
        <w:t>年单位整体支出绩效自评分</w:t>
      </w:r>
      <w:r>
        <w:rPr>
          <w:rFonts w:hint="eastAsia" w:eastAsia="方正仿宋简体"/>
          <w:sz w:val="32"/>
          <w:szCs w:val="32"/>
          <w:highlight w:val="none"/>
          <w:lang w:val="en-US" w:eastAsia="zh-CN"/>
        </w:rPr>
        <w:t>99</w:t>
      </w:r>
      <w:r>
        <w:rPr>
          <w:rFonts w:hint="eastAsia" w:eastAsia="方正仿宋简体"/>
          <w:sz w:val="32"/>
          <w:szCs w:val="32"/>
        </w:rPr>
        <w:t>分，自评结果为优秀。</w:t>
      </w:r>
    </w:p>
    <w:p>
      <w:pPr>
        <w:spacing w:line="580" w:lineRule="exact"/>
        <w:ind w:firstLine="640" w:firstLineChars="200"/>
        <w:rPr>
          <w:rFonts w:eastAsia="方正黑体简体"/>
          <w:sz w:val="32"/>
          <w:szCs w:val="32"/>
        </w:rPr>
      </w:pPr>
      <w:r>
        <w:rPr>
          <w:rFonts w:hint="eastAsia" w:eastAsia="方正黑体简体"/>
          <w:sz w:val="32"/>
          <w:szCs w:val="32"/>
        </w:rPr>
        <w:t>五、绩效分析</w:t>
      </w:r>
    </w:p>
    <w:p>
      <w:pPr>
        <w:spacing w:line="580" w:lineRule="exact"/>
        <w:ind w:firstLine="643" w:firstLineChars="200"/>
        <w:rPr>
          <w:rFonts w:eastAsia="方正楷体简体"/>
          <w:b/>
          <w:sz w:val="32"/>
          <w:szCs w:val="32"/>
        </w:rPr>
      </w:pPr>
      <w:r>
        <w:rPr>
          <w:rFonts w:hint="eastAsia" w:eastAsia="方正楷体简体"/>
          <w:b/>
          <w:sz w:val="32"/>
          <w:szCs w:val="32"/>
        </w:rPr>
        <w:t>（一）指标分析</w:t>
      </w:r>
    </w:p>
    <w:p>
      <w:pPr>
        <w:spacing w:line="580" w:lineRule="exact"/>
        <w:ind w:firstLine="640" w:firstLineChars="200"/>
        <w:rPr>
          <w:rFonts w:hint="eastAsia" w:ascii="Times New Roman" w:hAnsi="Times New Roman" w:eastAsia="方正仿宋简体" w:cs="Times New Roman"/>
          <w:sz w:val="32"/>
          <w:szCs w:val="32"/>
        </w:rPr>
      </w:pPr>
      <w:r>
        <w:rPr>
          <w:rFonts w:hint="eastAsia" w:ascii="Times New Roman" w:hAnsi="Times New Roman" w:eastAsia="方正仿宋简体" w:cs="Times New Roman"/>
          <w:sz w:val="32"/>
          <w:szCs w:val="32"/>
        </w:rPr>
        <w:t>街道办职责履行完成及时率自评分为3.</w:t>
      </w:r>
      <w:r>
        <w:rPr>
          <w:rFonts w:hint="eastAsia" w:ascii="Times New Roman" w:hAnsi="Times New Roman" w:eastAsia="方正仿宋简体" w:cs="Times New Roman"/>
          <w:sz w:val="32"/>
          <w:szCs w:val="32"/>
          <w:lang w:val="en-US" w:eastAsia="zh-CN"/>
        </w:rPr>
        <w:t>5</w:t>
      </w:r>
      <w:r>
        <w:rPr>
          <w:rFonts w:hint="eastAsia" w:ascii="Times New Roman" w:hAnsi="Times New Roman" w:eastAsia="方正仿宋简体" w:cs="Times New Roman"/>
          <w:sz w:val="32"/>
          <w:szCs w:val="32"/>
        </w:rPr>
        <w:t>分（满分4分），各项工作已经完成，但仍有少部分工作没有在计划时间内完成； 街道办职责履行质量达标率自评分为7</w:t>
      </w:r>
      <w:r>
        <w:rPr>
          <w:rFonts w:hint="eastAsia" w:ascii="Times New Roman" w:hAnsi="Times New Roman" w:eastAsia="方正仿宋简体" w:cs="Times New Roman"/>
          <w:sz w:val="32"/>
          <w:szCs w:val="32"/>
          <w:lang w:val="en-US" w:eastAsia="zh-CN"/>
        </w:rPr>
        <w:t>.5</w:t>
      </w:r>
      <w:r>
        <w:rPr>
          <w:rFonts w:hint="eastAsia" w:ascii="Times New Roman" w:hAnsi="Times New Roman" w:eastAsia="方正仿宋简体" w:cs="Times New Roman"/>
          <w:sz w:val="32"/>
          <w:szCs w:val="32"/>
        </w:rPr>
        <w:t>分（满分8分），完成的工作中仍有一部分质量低于预期标准。</w:t>
      </w:r>
    </w:p>
    <w:p>
      <w:pPr>
        <w:spacing w:line="580" w:lineRule="exact"/>
        <w:ind w:firstLine="643" w:firstLineChars="200"/>
        <w:rPr>
          <w:rFonts w:eastAsia="方正楷体简体"/>
          <w:b/>
          <w:sz w:val="32"/>
          <w:szCs w:val="32"/>
        </w:rPr>
      </w:pPr>
      <w:r>
        <w:rPr>
          <w:rFonts w:hint="eastAsia" w:eastAsia="方正楷体简体"/>
          <w:b/>
          <w:sz w:val="32"/>
          <w:szCs w:val="32"/>
        </w:rPr>
        <w:t>（二）综合绩效分析</w:t>
      </w:r>
    </w:p>
    <w:p>
      <w:pPr>
        <w:spacing w:line="580" w:lineRule="exact"/>
        <w:ind w:firstLine="643" w:firstLineChars="200"/>
        <w:rPr>
          <w:rFonts w:hint="eastAsia" w:eastAsia="方正仿宋简体"/>
          <w:sz w:val="32"/>
          <w:szCs w:val="32"/>
          <w:highlight w:val="yellow"/>
        </w:rPr>
      </w:pPr>
      <w:r>
        <w:rPr>
          <w:rFonts w:eastAsia="方正仿宋简体"/>
          <w:b/>
          <w:sz w:val="32"/>
          <w:szCs w:val="32"/>
        </w:rPr>
        <w:t>1.</w:t>
      </w:r>
      <w:r>
        <w:rPr>
          <w:rFonts w:hint="eastAsia" w:eastAsia="方正仿宋简体"/>
          <w:b/>
          <w:sz w:val="32"/>
          <w:szCs w:val="32"/>
        </w:rPr>
        <w:t>部门职能履行情况。</w:t>
      </w:r>
    </w:p>
    <w:p>
      <w:pPr>
        <w:spacing w:line="580" w:lineRule="exact"/>
        <w:ind w:firstLine="640" w:firstLineChars="200"/>
        <w:rPr>
          <w:rStyle w:val="6"/>
          <w:rFonts w:hint="eastAsia" w:ascii="Times New Roman" w:hAnsi="Times New Roman" w:eastAsia="方正仿宋简体" w:cs="方正仿宋简体"/>
          <w:sz w:val="32"/>
          <w:szCs w:val="32"/>
          <w:lang w:eastAsia="zh-CN"/>
        </w:rPr>
      </w:pPr>
      <w:r>
        <w:rPr>
          <w:rFonts w:hint="eastAsia" w:ascii="Times New Roman" w:hAnsi="Times New Roman" w:eastAsia="方正仿宋简体" w:cs="Times New Roman"/>
          <w:sz w:val="32"/>
          <w:szCs w:val="32"/>
          <w:lang w:eastAsia="zh-CN"/>
        </w:rPr>
        <w:t>（</w:t>
      </w:r>
      <w:r>
        <w:rPr>
          <w:rFonts w:hint="eastAsia" w:ascii="Times New Roman" w:hAnsi="Times New Roman" w:eastAsia="方正仿宋简体" w:cs="Times New Roman"/>
          <w:sz w:val="32"/>
          <w:szCs w:val="32"/>
          <w:lang w:val="en-US" w:eastAsia="zh-CN"/>
        </w:rPr>
        <w:t>1</w:t>
      </w:r>
      <w:r>
        <w:rPr>
          <w:rFonts w:hint="eastAsia" w:ascii="Times New Roman" w:hAnsi="Times New Roman" w:eastAsia="方正仿宋简体" w:cs="Times New Roman"/>
          <w:sz w:val="32"/>
          <w:szCs w:val="32"/>
          <w:lang w:eastAsia="zh-CN"/>
        </w:rPr>
        <w:t>）</w:t>
      </w:r>
      <w:r>
        <w:rPr>
          <w:rFonts w:hint="eastAsia" w:ascii="Times New Roman" w:hAnsi="Times New Roman" w:eastAsia="方正仿宋简体" w:cs="Times New Roman"/>
          <w:sz w:val="32"/>
          <w:szCs w:val="32"/>
          <w:lang w:val="en-US" w:eastAsia="zh-CN"/>
        </w:rPr>
        <w:t>党建办公室：负责全街道党建工作，具体包括组织召开各村（社区）书记党建工作会议12次、开展党政班子集中学习4次、村（社区）党员干部培训学习4次、推选村（社区）优秀党务工作者4名。</w:t>
      </w:r>
      <w:r>
        <w:rPr>
          <w:rStyle w:val="6"/>
          <w:rFonts w:hint="eastAsia" w:ascii="Times New Roman" w:hAnsi="Times New Roman" w:eastAsia="方正仿宋简体" w:cs="方正仿宋简体"/>
          <w:sz w:val="32"/>
          <w:szCs w:val="32"/>
          <w:lang w:val="en-US" w:eastAsia="zh-CN"/>
        </w:rPr>
        <w:t>街道锚定“强核心、促发展、聚民心”目标，牢固树立“大党建”理念，</w:t>
      </w:r>
      <w:r>
        <w:rPr>
          <w:rStyle w:val="6"/>
          <w:rFonts w:hint="eastAsia" w:ascii="Times New Roman" w:hAnsi="Times New Roman" w:eastAsia="方正仿宋简体" w:cs="方正仿宋简体"/>
          <w:sz w:val="32"/>
          <w:szCs w:val="32"/>
          <w:lang w:eastAsia="zh-CN"/>
        </w:rPr>
        <w:t>构建起</w:t>
      </w:r>
      <w:r>
        <w:rPr>
          <w:rStyle w:val="6"/>
          <w:rFonts w:hint="eastAsia" w:ascii="Times New Roman" w:hAnsi="Times New Roman" w:eastAsia="方正仿宋简体" w:cs="方正仿宋简体"/>
          <w:sz w:val="32"/>
          <w:szCs w:val="32"/>
          <w:lang w:val="en-US" w:eastAsia="zh-CN"/>
        </w:rPr>
        <w:t>街道党工委、基层党组织、小区</w:t>
      </w:r>
      <w:r>
        <w:rPr>
          <w:rStyle w:val="6"/>
          <w:rFonts w:hint="eastAsia" w:ascii="Times New Roman" w:hAnsi="Times New Roman" w:eastAsia="方正仿宋简体" w:cs="方正仿宋简体"/>
          <w:sz w:val="32"/>
          <w:szCs w:val="32"/>
          <w:lang w:eastAsia="zh-CN"/>
        </w:rPr>
        <w:t>党支部、党员中心户四方协同，带动各方的“</w:t>
      </w:r>
      <w:r>
        <w:rPr>
          <w:rStyle w:val="6"/>
          <w:rFonts w:hint="eastAsia" w:ascii="Times New Roman" w:hAnsi="Times New Roman" w:eastAsia="方正仿宋简体" w:cs="方正仿宋简体"/>
          <w:sz w:val="32"/>
          <w:szCs w:val="32"/>
          <w:lang w:val="en-US" w:eastAsia="zh-CN"/>
        </w:rPr>
        <w:t>4</w:t>
      </w:r>
      <w:r>
        <w:rPr>
          <w:rStyle w:val="6"/>
          <w:rFonts w:hint="eastAsia" w:ascii="Times New Roman" w:hAnsi="Times New Roman" w:eastAsia="方正仿宋简体" w:cs="方正仿宋简体"/>
          <w:sz w:val="32"/>
          <w:szCs w:val="32"/>
          <w:lang w:eastAsia="zh-CN"/>
        </w:rPr>
        <w:t>+</w:t>
      </w:r>
      <w:r>
        <w:rPr>
          <w:rStyle w:val="6"/>
          <w:rFonts w:hint="eastAsia" w:ascii="Times New Roman" w:hAnsi="Times New Roman" w:eastAsia="方正仿宋简体" w:cs="方正仿宋简体"/>
          <w:sz w:val="32"/>
          <w:szCs w:val="32"/>
          <w:lang w:val="en-US" w:eastAsia="zh-CN"/>
        </w:rPr>
        <w:t>N</w:t>
      </w:r>
      <w:r>
        <w:rPr>
          <w:rStyle w:val="6"/>
          <w:rFonts w:hint="eastAsia" w:ascii="Times New Roman" w:hAnsi="Times New Roman" w:eastAsia="方正仿宋简体" w:cs="方正仿宋简体"/>
          <w:sz w:val="32"/>
          <w:szCs w:val="32"/>
          <w:lang w:eastAsia="zh-CN"/>
        </w:rPr>
        <w:t>”纵向领导</w:t>
      </w:r>
      <w:r>
        <w:rPr>
          <w:rStyle w:val="6"/>
          <w:rFonts w:hint="eastAsia" w:ascii="Times New Roman" w:hAnsi="Times New Roman" w:eastAsia="方正仿宋简体" w:cs="方正仿宋简体"/>
          <w:sz w:val="32"/>
          <w:szCs w:val="32"/>
          <w:lang w:val="en-US" w:eastAsia="zh-CN"/>
        </w:rPr>
        <w:t>体系</w:t>
      </w:r>
      <w:r>
        <w:rPr>
          <w:rStyle w:val="6"/>
          <w:rFonts w:hint="eastAsia" w:ascii="Times New Roman" w:hAnsi="Times New Roman" w:eastAsia="方正仿宋简体" w:cs="方正仿宋简体"/>
          <w:sz w:val="32"/>
          <w:szCs w:val="32"/>
          <w:lang w:eastAsia="zh-CN"/>
        </w:rPr>
        <w:t>，</w:t>
      </w:r>
      <w:r>
        <w:rPr>
          <w:rStyle w:val="6"/>
          <w:rFonts w:hint="eastAsia" w:ascii="Times New Roman" w:hAnsi="Times New Roman" w:eastAsia="方正仿宋简体" w:cs="方正仿宋简体"/>
          <w:sz w:val="32"/>
          <w:szCs w:val="32"/>
          <w:lang w:val="en-US" w:eastAsia="zh-CN"/>
        </w:rPr>
        <w:t>创新</w:t>
      </w:r>
      <w:r>
        <w:rPr>
          <w:rStyle w:val="6"/>
          <w:rFonts w:hint="eastAsia" w:ascii="Times New Roman" w:hAnsi="Times New Roman" w:eastAsia="方正仿宋简体" w:cs="方正仿宋简体"/>
          <w:sz w:val="32"/>
          <w:szCs w:val="32"/>
          <w:lang w:eastAsia="zh-CN"/>
        </w:rPr>
        <w:t>“城乡＋农村”两级管理模式，</w:t>
      </w:r>
      <w:r>
        <w:rPr>
          <w:rStyle w:val="6"/>
          <w:rFonts w:hint="eastAsia" w:ascii="Times New Roman" w:hAnsi="Times New Roman" w:eastAsia="方正仿宋简体" w:cs="方正仿宋简体"/>
          <w:sz w:val="32"/>
          <w:szCs w:val="32"/>
          <w:lang w:val="en-US" w:eastAsia="zh-CN"/>
        </w:rPr>
        <w:t>探索</w:t>
      </w:r>
      <w:r>
        <w:rPr>
          <w:rStyle w:val="6"/>
          <w:rFonts w:hint="eastAsia" w:ascii="Times New Roman" w:hAnsi="Times New Roman" w:eastAsia="方正仿宋简体" w:cs="方正仿宋简体"/>
          <w:sz w:val="32"/>
          <w:szCs w:val="32"/>
          <w:lang w:eastAsia="zh-CN"/>
        </w:rPr>
        <w:t>推动基层党建、城市管理、社会综治、民生服务、政务服务“五网合一”，党建整体效应得到全面提升。</w:t>
      </w:r>
    </w:p>
    <w:p>
      <w:pPr>
        <w:spacing w:line="580" w:lineRule="exact"/>
        <w:ind w:firstLine="640" w:firstLineChars="200"/>
        <w:rPr>
          <w:rFonts w:hint="default"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2）党政综合办公室：负责街道办统筹、工会、团委、妇联等方面工作。开展妇女节活动1次、街道体育比赛1次、组织各村社区特色活动不少于2次，负责街道后勤等工作。在文明城市创建工作方面，我街道开展创建文明卫生城市宣传活动超过12次，组织创建文明卫生城市主题活动4次。</w:t>
      </w:r>
    </w:p>
    <w:p>
      <w:pPr>
        <w:spacing w:line="580" w:lineRule="exact"/>
        <w:ind w:firstLine="640" w:firstLineChars="200"/>
        <w:rPr>
          <w:rFonts w:hint="default" w:eastAsia="方正仿宋简体"/>
          <w:sz w:val="32"/>
          <w:szCs w:val="32"/>
          <w:lang w:val="en-US" w:eastAsia="zh-CN"/>
        </w:rPr>
      </w:pPr>
      <w:r>
        <w:rPr>
          <w:rFonts w:hint="eastAsia" w:ascii="Times New Roman" w:hAnsi="Times New Roman" w:eastAsia="方正仿宋简体" w:cs="Times New Roman"/>
          <w:sz w:val="32"/>
          <w:szCs w:val="32"/>
          <w:lang w:val="en-US" w:eastAsia="zh-CN"/>
        </w:rPr>
        <w:t>（3）</w:t>
      </w:r>
      <w:r>
        <w:rPr>
          <w:rFonts w:hint="eastAsia" w:eastAsia="方正仿宋简体"/>
          <w:sz w:val="32"/>
          <w:szCs w:val="32"/>
        </w:rPr>
        <w:t>社会事务管理办公室</w:t>
      </w:r>
      <w:r>
        <w:rPr>
          <w:rFonts w:hint="eastAsia" w:eastAsia="方正仿宋简体"/>
          <w:sz w:val="32"/>
          <w:szCs w:val="32"/>
          <w:lang w:eastAsia="zh-CN"/>
        </w:rPr>
        <w:t>：主要负责做好社会保障工作、完善社会保障体系，具体包括开展低保动态信息入户核实不少于</w:t>
      </w:r>
      <w:r>
        <w:rPr>
          <w:rFonts w:hint="eastAsia" w:eastAsia="方正仿宋简体"/>
          <w:sz w:val="32"/>
          <w:szCs w:val="32"/>
          <w:lang w:val="en-US" w:eastAsia="zh-CN"/>
        </w:rPr>
        <w:t>4次</w:t>
      </w:r>
      <w:r>
        <w:rPr>
          <w:rFonts w:hint="eastAsia" w:eastAsia="方正仿宋简体"/>
          <w:sz w:val="32"/>
          <w:szCs w:val="32"/>
          <w:lang w:eastAsia="zh-CN"/>
        </w:rPr>
        <w:t>、开展新农合，社保，医保宣传工作不少于</w:t>
      </w:r>
      <w:r>
        <w:rPr>
          <w:rFonts w:hint="eastAsia" w:eastAsia="方正仿宋简体"/>
          <w:sz w:val="32"/>
          <w:szCs w:val="32"/>
          <w:lang w:val="en-US" w:eastAsia="zh-CN"/>
        </w:rPr>
        <w:t>4次，开展计生慰问活动4次；开展退役军人相关事务宣传工作1次、退役军人（军属、烈属）慰问走访4次。</w:t>
      </w:r>
    </w:p>
    <w:p>
      <w:pPr>
        <w:spacing w:line="580" w:lineRule="exact"/>
        <w:ind w:firstLine="640" w:firstLineChars="200"/>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4）基层治理办公室（群众工作办公室）：开展禁毒专项工作不少于4次，包括会议和宣传；开展扫黑除恶专项工作不少于4次；开展法制集中宣传活动不少于12次；对村社区信访维稳工作进行抽查、指导、评价；开展夜间巡逻活动不少于48次。</w:t>
      </w:r>
    </w:p>
    <w:p>
      <w:pPr>
        <w:spacing w:line="580" w:lineRule="exact"/>
        <w:ind w:firstLine="640" w:firstLineChars="200"/>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（5）应急管理和生态环境办公室：开展安全生产月宣传活动6次，进行安全生产检查12次，举行村（社区）消防演练活动2次。</w:t>
      </w:r>
    </w:p>
    <w:p>
      <w:pPr>
        <w:spacing w:line="580" w:lineRule="exact"/>
        <w:ind w:firstLine="640" w:firstLineChars="200"/>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（6）财政所：完成19个村（社区）2022年代账账务工作、指导村（社区）报账工作和检查村（社区）按月公开账务情况12次、组织村（社区）报账人员进行相关培训1次。</w:t>
      </w:r>
    </w:p>
    <w:p>
      <w:pPr>
        <w:spacing w:line="580" w:lineRule="exact"/>
        <w:ind w:firstLine="643" w:firstLineChars="200"/>
        <w:rPr>
          <w:rFonts w:hint="eastAsia" w:eastAsia="方正仿宋简体"/>
          <w:b/>
          <w:sz w:val="32"/>
          <w:szCs w:val="32"/>
        </w:rPr>
      </w:pPr>
      <w:r>
        <w:rPr>
          <w:rFonts w:eastAsia="方正仿宋简体"/>
          <w:b/>
          <w:sz w:val="32"/>
          <w:szCs w:val="32"/>
        </w:rPr>
        <w:t>2.</w:t>
      </w:r>
      <w:r>
        <w:rPr>
          <w:rFonts w:hint="eastAsia" w:eastAsia="方正仿宋简体"/>
          <w:b/>
          <w:sz w:val="32"/>
          <w:szCs w:val="32"/>
        </w:rPr>
        <w:t>部门履职有效性</w:t>
      </w:r>
    </w:p>
    <w:p>
      <w:pPr>
        <w:spacing w:line="580" w:lineRule="exact"/>
        <w:ind w:firstLine="640" w:firstLineChars="200"/>
        <w:rPr>
          <w:rStyle w:val="6"/>
          <w:rFonts w:hint="default" w:ascii="Times New Roman" w:hAnsi="Times New Roman" w:eastAsia="方正仿宋简体" w:cs="方正仿宋简体"/>
          <w:sz w:val="32"/>
          <w:szCs w:val="32"/>
          <w:highlight w:val="none"/>
          <w:lang w:val="en-US" w:eastAsia="zh-CN"/>
        </w:rPr>
      </w:pPr>
      <w:r>
        <w:rPr>
          <w:rFonts w:hint="eastAsia" w:ascii="Times New Roman" w:hAnsi="Times New Roman" w:eastAsia="方正仿宋简体" w:cs="Times New Roman"/>
          <w:sz w:val="32"/>
          <w:szCs w:val="32"/>
          <w:highlight w:val="none"/>
          <w:lang w:eastAsia="zh-CN"/>
        </w:rPr>
        <w:t>（</w:t>
      </w:r>
      <w:r>
        <w:rPr>
          <w:rFonts w:hint="eastAsia" w:ascii="Times New Roman" w:hAnsi="Times New Roman" w:eastAsia="方正仿宋简体" w:cs="Times New Roman"/>
          <w:sz w:val="32"/>
          <w:szCs w:val="32"/>
          <w:highlight w:val="none"/>
          <w:lang w:val="en-US" w:eastAsia="zh-CN"/>
        </w:rPr>
        <w:t>1</w:t>
      </w:r>
      <w:r>
        <w:rPr>
          <w:rFonts w:hint="eastAsia" w:ascii="Times New Roman" w:hAnsi="Times New Roman" w:eastAsia="方正仿宋简体" w:cs="Times New Roman"/>
          <w:sz w:val="32"/>
          <w:szCs w:val="32"/>
          <w:highlight w:val="none"/>
          <w:lang w:eastAsia="zh-CN"/>
        </w:rPr>
        <w:t>）</w:t>
      </w:r>
      <w:r>
        <w:rPr>
          <w:rFonts w:hint="eastAsia" w:ascii="Times New Roman" w:hAnsi="Times New Roman" w:eastAsia="方正仿宋简体" w:cs="Times New Roman"/>
          <w:sz w:val="32"/>
          <w:szCs w:val="32"/>
          <w:highlight w:val="none"/>
          <w:lang w:val="en-US" w:eastAsia="zh-CN"/>
        </w:rPr>
        <w:t>党建办公室：经统计，2022年党建办开展的各种党建会议到场率为96%，4%未到场的人员主要是因为其他工作、事假而缺席会议</w:t>
      </w:r>
      <w:r>
        <w:rPr>
          <w:rFonts w:hint="eastAsia" w:eastAsia="方正仿宋简体" w:cs="Times New Roman"/>
          <w:sz w:val="32"/>
          <w:szCs w:val="32"/>
          <w:highlight w:val="none"/>
          <w:lang w:val="en-US" w:eastAsia="zh-CN"/>
        </w:rPr>
        <w:t>；党建相关培训通过率目标为95%，实现率为90%；通过评优评先工作可以提高党员干部工作积极性，促进党员干部更加认真全面学习党建知识，完成党建工作。</w:t>
      </w:r>
    </w:p>
    <w:p>
      <w:pPr>
        <w:spacing w:line="580" w:lineRule="exact"/>
        <w:ind w:firstLine="640" w:firstLineChars="200"/>
        <w:rPr>
          <w:rFonts w:hint="default" w:ascii="Times New Roman" w:hAnsi="Times New Roman" w:eastAsia="方正仿宋简体" w:cs="Times New Roman"/>
          <w:sz w:val="32"/>
          <w:szCs w:val="32"/>
          <w:highlight w:val="none"/>
          <w:lang w:val="en-US" w:eastAsia="zh-CN"/>
        </w:rPr>
      </w:pPr>
      <w:r>
        <w:rPr>
          <w:rFonts w:hint="eastAsia" w:ascii="Times New Roman" w:hAnsi="Times New Roman" w:eastAsia="方正仿宋简体" w:cs="Times New Roman"/>
          <w:sz w:val="32"/>
          <w:szCs w:val="32"/>
          <w:highlight w:val="none"/>
          <w:lang w:val="en-US" w:eastAsia="zh-CN"/>
        </w:rPr>
        <w:t>（2）党政综合办公室：</w:t>
      </w:r>
      <w:r>
        <w:rPr>
          <w:rFonts w:hint="eastAsia" w:eastAsia="方正仿宋简体" w:cs="Times New Roman"/>
          <w:sz w:val="32"/>
          <w:szCs w:val="32"/>
          <w:highlight w:val="none"/>
          <w:lang w:val="en-US" w:eastAsia="zh-CN"/>
        </w:rPr>
        <w:t>2022年，街道开展妇女节活动、机关体育活动、社区困难群众慰问活动等，通过这些活动关爱辖区内妇女儿童等弱势群体，形成扶老爱幼的社会氛围，创建和谐社区。2022年度，街道组织创建文明城市宣传活动、主题活动，开展村（社区）创建文明城市结果评比活动，公开各村（社区）创建文明卫生城市工作成果，并进行宣传，创建干净卫生整洁的街道环境，提高街道居民文化素质。</w:t>
      </w:r>
    </w:p>
    <w:p>
      <w:pPr>
        <w:spacing w:line="580" w:lineRule="exact"/>
        <w:ind w:firstLine="640" w:firstLineChars="200"/>
        <w:rPr>
          <w:rFonts w:hint="default" w:eastAsia="方正仿宋简体"/>
          <w:sz w:val="32"/>
          <w:szCs w:val="32"/>
          <w:highlight w:val="yellow"/>
          <w:lang w:val="en-US" w:eastAsia="zh-CN"/>
        </w:rPr>
      </w:pPr>
      <w:r>
        <w:rPr>
          <w:rFonts w:hint="eastAsia" w:ascii="Times New Roman" w:hAnsi="Times New Roman" w:eastAsia="方正仿宋简体" w:cs="Times New Roman"/>
          <w:sz w:val="32"/>
          <w:szCs w:val="32"/>
          <w:highlight w:val="none"/>
          <w:lang w:val="en-US" w:eastAsia="zh-CN"/>
        </w:rPr>
        <w:t>（3）</w:t>
      </w:r>
      <w:r>
        <w:rPr>
          <w:rFonts w:hint="eastAsia" w:eastAsia="方正仿宋简体"/>
          <w:sz w:val="32"/>
          <w:szCs w:val="32"/>
          <w:highlight w:val="none"/>
        </w:rPr>
        <w:t>社会事务管理办公室</w:t>
      </w:r>
      <w:r>
        <w:rPr>
          <w:rFonts w:hint="eastAsia" w:eastAsia="方正仿宋简体"/>
          <w:sz w:val="32"/>
          <w:szCs w:val="32"/>
          <w:highlight w:val="none"/>
          <w:lang w:eastAsia="zh-CN"/>
        </w:rPr>
        <w:t>：街道</w:t>
      </w:r>
      <w:r>
        <w:rPr>
          <w:rFonts w:hint="eastAsia" w:eastAsia="方正仿宋简体"/>
          <w:sz w:val="32"/>
          <w:szCs w:val="32"/>
          <w:highlight w:val="none"/>
          <w:lang w:val="en-US" w:eastAsia="zh-CN"/>
        </w:rPr>
        <w:t>2022年</w:t>
      </w:r>
      <w:r>
        <w:rPr>
          <w:rFonts w:hint="eastAsia" w:ascii="Times New Roman" w:hAnsi="Times New Roman" w:eastAsia="方正仿宋简体" w:cs="方正仿宋简体"/>
          <w:color w:val="auto"/>
          <w:kern w:val="2"/>
          <w:sz w:val="32"/>
          <w:szCs w:val="32"/>
          <w:lang w:val="en-US" w:eastAsia="zh-CN" w:bidi="ar-SA"/>
        </w:rPr>
        <w:t>共有城镇低保468户536人，农村低保469户536人；持续推动城乡居民养老保险参保，截止目前完成城乡居民基本养老保险参保覆盖达8841人，其中今年新增参保89人，待遇领取人112人；强化城乡居民医保政策宣传，截止目前街道参加城乡居民医疗保险67039人，参加城镇职工医保17813人，其中辖区内239户453人立卡脱贫人口全部参保，异地参保人员3510人，参保率为100%；受理居民异地住院手工报账资料和特殊门诊资料263份，办结263份。向农村特困160户，城镇特困33户发放救助金130170元，为辖区12名孤儿发放生活补助14400元，按高龄补贴标准为辖区内2900余名老人发放高龄津贴1125460元，为辖区困难人员发放临时生活救助经费65500元</w:t>
      </w:r>
      <w:r>
        <w:rPr>
          <w:rFonts w:hint="eastAsia" w:eastAsia="方正仿宋简体" w:cs="方正仿宋简体"/>
          <w:color w:val="auto"/>
          <w:kern w:val="2"/>
          <w:sz w:val="32"/>
          <w:szCs w:val="32"/>
          <w:lang w:val="en-US" w:eastAsia="zh-CN" w:bidi="ar-SA"/>
        </w:rPr>
        <w:t>。</w:t>
      </w:r>
      <w:r>
        <w:rPr>
          <w:rFonts w:hint="eastAsia" w:ascii="Times New Roman" w:hAnsi="Times New Roman" w:eastAsia="方正仿宋简体" w:cs="方正仿宋简体"/>
          <w:color w:val="auto"/>
          <w:kern w:val="2"/>
          <w:sz w:val="32"/>
          <w:szCs w:val="32"/>
          <w:lang w:val="en-US" w:eastAsia="zh-CN" w:bidi="ar-SA"/>
        </w:rPr>
        <w:t>街道4000余名退役军人全部纳入一人一档建档管理，已办理退役军人优待证2253人次，为重点优抚对象370人代缴医保，通过春节、端午、八一等节日，向63名退役军人、军烈属发放慰问</w:t>
      </w:r>
    </w:p>
    <w:p>
      <w:pPr>
        <w:spacing w:line="580" w:lineRule="exact"/>
        <w:ind w:firstLine="640" w:firstLineChars="200"/>
        <w:rPr>
          <w:rFonts w:hint="default" w:ascii="Times New Roman" w:hAnsi="Times New Roman" w:eastAsia="方正仿宋简体" w:cs="方正仿宋简体"/>
          <w:color w:val="auto"/>
          <w:kern w:val="2"/>
          <w:sz w:val="32"/>
          <w:szCs w:val="32"/>
          <w:highlight w:val="none"/>
          <w:lang w:val="en-US" w:eastAsia="zh-CN" w:bidi="ar-SA"/>
        </w:rPr>
      </w:pPr>
      <w:r>
        <w:rPr>
          <w:rFonts w:hint="eastAsia" w:ascii="Times New Roman" w:hAnsi="Times New Roman" w:eastAsia="方正仿宋简体" w:cs="Times New Roman"/>
          <w:sz w:val="32"/>
          <w:szCs w:val="32"/>
          <w:highlight w:val="none"/>
          <w:lang w:val="en-US" w:eastAsia="zh-CN"/>
        </w:rPr>
        <w:t>（4）基层治理办公室（群众工作办公室）：</w:t>
      </w:r>
      <w:r>
        <w:rPr>
          <w:rFonts w:hint="eastAsia" w:ascii="Times New Roman" w:hAnsi="Times New Roman" w:eastAsia="方正仿宋简体" w:cs="方正仿宋简体"/>
          <w:color w:val="auto"/>
          <w:kern w:val="2"/>
          <w:sz w:val="32"/>
          <w:szCs w:val="32"/>
          <w:highlight w:val="none"/>
          <w:lang w:val="en-US" w:eastAsia="zh-CN" w:bidi="ar-SA"/>
        </w:rPr>
        <w:t>深入开展扫黑除恶攻坚战，设置举报箱20个，畅通举报路径，常态化宣传排查，张贴宣传标语30条，横幅20余幅，发放宣传资料23000余份</w:t>
      </w:r>
      <w:r>
        <w:rPr>
          <w:rFonts w:hint="eastAsia" w:eastAsia="方正仿宋简体" w:cs="方正仿宋简体"/>
          <w:color w:val="auto"/>
          <w:kern w:val="2"/>
          <w:sz w:val="32"/>
          <w:szCs w:val="32"/>
          <w:highlight w:val="none"/>
          <w:lang w:val="en-US" w:eastAsia="zh-CN" w:bidi="ar-SA"/>
        </w:rPr>
        <w:t>；</w:t>
      </w:r>
      <w:r>
        <w:rPr>
          <w:rFonts w:hint="eastAsia" w:ascii="Times New Roman" w:hAnsi="Times New Roman" w:eastAsia="方正仿宋简体" w:cs="方正仿宋简体"/>
          <w:color w:val="auto"/>
          <w:kern w:val="2"/>
          <w:sz w:val="32"/>
          <w:szCs w:val="32"/>
          <w:highlight w:val="none"/>
          <w:lang w:val="en-US" w:eastAsia="zh-CN" w:bidi="ar-SA"/>
        </w:rPr>
        <w:t>常态化做好治安联防联控，持续会同辖区派出所开展每周2-3次的治安巡逻，提升群众见警率，组织230余人参与治安联防，发挥联防效能，织密防控网络，累计开展1600余次“红袖套”治安巡逻；大力推进打击整治养老诈骗专项行动及“两车卫士”防盗防患系统推广力度，街道累计转发推送养老反诈宣传知识40余条，发送宣传短信1.58万余条，发放宣传资料2.7万余份，通过摸排收集16条存在涉嫌养老产品诈骗线索移交县专项办，切实维护了老年人合法权益；同时街道“两车卫士”备案登记4362辆，任务完成占比79.31%</w:t>
      </w:r>
      <w:r>
        <w:rPr>
          <w:rFonts w:hint="eastAsia" w:eastAsia="方正仿宋简体" w:cs="方正仿宋简体"/>
          <w:color w:val="auto"/>
          <w:kern w:val="2"/>
          <w:sz w:val="32"/>
          <w:szCs w:val="32"/>
          <w:highlight w:val="none"/>
          <w:lang w:val="en-US" w:eastAsia="zh-CN" w:bidi="ar-SA"/>
        </w:rPr>
        <w:t>。</w:t>
      </w:r>
    </w:p>
    <w:p>
      <w:pPr>
        <w:spacing w:line="580" w:lineRule="exact"/>
        <w:ind w:firstLine="640" w:firstLineChars="200"/>
        <w:rPr>
          <w:rFonts w:hint="eastAsia"/>
        </w:rPr>
      </w:pPr>
      <w:r>
        <w:rPr>
          <w:rFonts w:hint="eastAsia" w:ascii="Times New Roman" w:hAnsi="Times New Roman" w:eastAsia="方正仿宋简体" w:cs="Times New Roman"/>
          <w:sz w:val="32"/>
          <w:szCs w:val="32"/>
          <w:highlight w:val="none"/>
          <w:lang w:val="en-US" w:eastAsia="zh-CN"/>
        </w:rPr>
        <w:t>（5）应急管理和生态环境办公室：</w:t>
      </w:r>
      <w:r>
        <w:rPr>
          <w:rStyle w:val="6"/>
          <w:rFonts w:hint="eastAsia" w:ascii="Times New Roman" w:hAnsi="Times New Roman" w:eastAsia="方正仿宋简体" w:cs="方正仿宋简体"/>
          <w:color w:val="auto"/>
          <w:sz w:val="32"/>
          <w:szCs w:val="32"/>
          <w:lang w:val="en-US" w:eastAsia="zh-CN"/>
        </w:rPr>
        <w:t>累计印发安全生产小常识资料、防火防汛宣传单、烟花爆竹禁燃禁放安全宣传单、道路交通安全知识教育资料40000余份，组织开展应急演练4场，悬挂相关宣传标语100余条，编制安全生产简报14余期，开展大型安全生产知识科普活动2次，形成“日日谈安全，处处见安全”的宣传氛围。以三年行动“巩固提升”为抓手，对烟花爆竹、工贸行业、危险化学品等重点领域开展安全生产大排查活动，有效清除重点行业生产风险；深刻汲取《6.13湖北十堰集贸市场燃气爆炸》《4.29湖南长沙自建房倒塌事故》经验教训，落实属地管理责任到最小工作单元，开展燃气安全及自建房专项排查工作，截止目前完成燃气入户排查41015户，非居民燃气报警装置安装完成872户，</w:t>
      </w:r>
      <w:r>
        <w:rPr>
          <w:rFonts w:hint="eastAsia" w:ascii="Times New Roman" w:hAnsi="Times New Roman" w:eastAsia="方正仿宋简体" w:cs="方正仿宋简体"/>
          <w:b w:val="0"/>
          <w:bCs w:val="0"/>
          <w:kern w:val="0"/>
          <w:sz w:val="32"/>
          <w:szCs w:val="32"/>
          <w:lang w:val="en-US" w:eastAsia="zh-CN" w:bidi="ar-SA"/>
        </w:rPr>
        <w:t>排查各类自建房3999户，其中用作经营自建房111户、其他自建房3888户，已排查的用作经营自建房中，初判疑似存在安全隐患的房屋1座，已完成整治1座，整治率100%，已排查其他自建房，初判疑似存在安全隐患的房屋38座，已完成评定38座，评定率100%；常态化开展道路交通安全综合治理，以“两站两员”（交通管理站、交通安全劝导站，交通管理员、交通劝导员站）为工作基础架构，发挥农交安APP功效，大力推进“三驾”“三车”“三超”等道路交通安全集中整治行动；开展有限空间作业安全生产专项整治行动，组织出动检查人员50余人次，发放《有限空间作业安全指导手册》100余份，检查相关生产经营单位11家、发现隐患15处，按“五到位”“七必须”要求下达限期整改告知书。</w:t>
      </w:r>
    </w:p>
    <w:p>
      <w:pPr>
        <w:numPr>
          <w:ilvl w:val="0"/>
          <w:numId w:val="2"/>
        </w:numPr>
        <w:spacing w:line="580" w:lineRule="exact"/>
        <w:ind w:firstLine="643" w:firstLineChars="200"/>
        <w:rPr>
          <w:rFonts w:hint="default" w:ascii="Times New Roman" w:hAnsi="Times New Roman" w:eastAsia="方正仿宋简体" w:cs="Times New Roman"/>
          <w:sz w:val="32"/>
          <w:szCs w:val="32"/>
          <w:highlight w:val="none"/>
          <w:lang w:val="en-US" w:eastAsia="zh-CN"/>
        </w:rPr>
      </w:pPr>
      <w:r>
        <w:rPr>
          <w:rFonts w:hint="eastAsia" w:eastAsia="方正仿宋简体"/>
          <w:b/>
          <w:sz w:val="32"/>
          <w:szCs w:val="32"/>
        </w:rPr>
        <w:t>部门职能实现程度</w:t>
      </w:r>
    </w:p>
    <w:p>
      <w:pPr>
        <w:numPr>
          <w:numId w:val="0"/>
        </w:numPr>
        <w:spacing w:line="580" w:lineRule="exact"/>
        <w:ind w:firstLine="640" w:firstLineChars="200"/>
        <w:rPr>
          <w:rFonts w:hint="default"/>
          <w:lang w:val="en-US" w:eastAsia="zh-CN"/>
        </w:rPr>
      </w:pPr>
      <w:r>
        <w:rPr>
          <w:rFonts w:hint="eastAsia" w:ascii="Times New Roman" w:hAnsi="Times New Roman" w:eastAsia="方正仿宋简体" w:cs="Times New Roman"/>
          <w:sz w:val="32"/>
          <w:szCs w:val="32"/>
          <w:highlight w:val="none"/>
          <w:lang w:val="en-US" w:eastAsia="zh-CN"/>
        </w:rPr>
        <w:t>党员干部对党建工作更加熟悉、工作方式更加高效。经调查，本年度内，街道党支部党员对党建工作的满意度为95%</w:t>
      </w:r>
      <w:r>
        <w:rPr>
          <w:rFonts w:hint="eastAsia" w:eastAsia="方正仿宋简体" w:cs="Times New Roman"/>
          <w:sz w:val="32"/>
          <w:szCs w:val="32"/>
          <w:highlight w:val="none"/>
          <w:lang w:val="en-US" w:eastAsia="zh-CN"/>
        </w:rPr>
        <w:t>。</w:t>
      </w:r>
      <w:r>
        <w:rPr>
          <w:rFonts w:hint="eastAsia" w:ascii="Times New Roman" w:hAnsi="Times New Roman" w:eastAsia="方正仿宋简体" w:cs="Times New Roman"/>
          <w:sz w:val="32"/>
          <w:szCs w:val="32"/>
          <w:highlight w:val="none"/>
          <w:lang w:val="en-US" w:eastAsia="zh-CN"/>
        </w:rPr>
        <w:t>通过组织街道慰问活动关爱孤寡老人、失学儿童，辖区内居民对象满意度为95%</w:t>
      </w:r>
      <w:r>
        <w:rPr>
          <w:rFonts w:hint="eastAsia" w:eastAsia="方正仿宋简体" w:cs="Times New Roman"/>
          <w:sz w:val="32"/>
          <w:szCs w:val="32"/>
          <w:highlight w:val="none"/>
          <w:lang w:val="en-US" w:eastAsia="zh-CN"/>
        </w:rPr>
        <w:t>。通过文明卫生城市创建工作，南塔街道累计入户开展问卷调查31000余次，使得辖区居民充分了解关注辖区文明卫生城市创建工作。各社区累计增设停车位1000余个、改造老旧小区专项工作中实现3700平方米的院坝硬化工作等，社会公众对开展创建文明卫生城市工作满意程度为98%。2022年，街道社保工作顺利进行，救济金及相关工作人员（劳动保障协理员等）工资及时发放，使生活困难的居民能够得到基本的生活保障，救济受益对象群众满意度为95%。通过辖区全覆盖网格化管理，及时处理群众反馈的问题，维持辖区的安定和谐，持续开展各项基层治理专项工作，加强辖区群众如法制意识、禁毒意识等。社区群众对治安环境满意度为100%。2022年，街道安全生产工作及时解决辖区群众反馈的问题，及时消除辖区生产生活潜在安全隐患，保障辖区居民、企业生命财产安全。辖区群众、企业对安全生产、生活工作满意度为95%。</w:t>
      </w:r>
    </w:p>
    <w:p>
      <w:pPr>
        <w:spacing w:line="580" w:lineRule="exact"/>
        <w:ind w:firstLine="640" w:firstLineChars="200"/>
        <w:rPr>
          <w:rFonts w:eastAsia="方正黑体简体"/>
          <w:sz w:val="32"/>
          <w:szCs w:val="32"/>
        </w:rPr>
      </w:pPr>
      <w:r>
        <w:rPr>
          <w:rFonts w:hint="eastAsia" w:eastAsia="方正黑体简体"/>
          <w:sz w:val="32"/>
          <w:szCs w:val="32"/>
        </w:rPr>
        <w:t>六、问题分析</w:t>
      </w:r>
    </w:p>
    <w:p>
      <w:pPr>
        <w:numPr>
          <w:ilvl w:val="0"/>
          <w:numId w:val="0"/>
        </w:numPr>
        <w:spacing w:line="580" w:lineRule="exact"/>
        <w:ind w:firstLine="640" w:firstLineChars="200"/>
        <w:rPr>
          <w:rFonts w:hint="eastAsia" w:eastAsia="方正仿宋简体" w:cs="Times New Roman"/>
          <w:sz w:val="32"/>
          <w:szCs w:val="32"/>
          <w:highlight w:val="none"/>
          <w:lang w:val="en-US" w:eastAsia="zh-CN"/>
        </w:rPr>
      </w:pPr>
      <w:r>
        <w:rPr>
          <w:rFonts w:hint="eastAsia" w:eastAsia="方正仿宋简体" w:cs="Times New Roman"/>
          <w:sz w:val="32"/>
          <w:szCs w:val="32"/>
          <w:highlight w:val="none"/>
          <w:lang w:val="en-US" w:eastAsia="zh-CN"/>
        </w:rPr>
        <w:t>（一）安排下一年工作绩效目标时不够合理，与下一年实际工作情况有差距。</w:t>
      </w:r>
    </w:p>
    <w:p>
      <w:pPr>
        <w:numPr>
          <w:ilvl w:val="0"/>
          <w:numId w:val="0"/>
        </w:numPr>
        <w:spacing w:line="580" w:lineRule="exact"/>
        <w:ind w:firstLine="640" w:firstLineChars="200"/>
        <w:rPr>
          <w:rFonts w:hint="eastAsia" w:eastAsia="方正仿宋简体" w:cs="Times New Roman"/>
          <w:sz w:val="32"/>
          <w:szCs w:val="32"/>
          <w:highlight w:val="none"/>
          <w:lang w:val="en-US" w:eastAsia="zh-CN"/>
        </w:rPr>
      </w:pPr>
      <w:r>
        <w:rPr>
          <w:rFonts w:hint="eastAsia" w:eastAsia="方正仿宋简体" w:cs="Times New Roman"/>
          <w:sz w:val="32"/>
          <w:szCs w:val="32"/>
          <w:highlight w:val="none"/>
          <w:lang w:val="en-US" w:eastAsia="zh-CN"/>
        </w:rPr>
        <w:t>（二）专项资金少，资金压力大。各部门开展工作经费不够充足。</w:t>
      </w:r>
    </w:p>
    <w:p>
      <w:pPr>
        <w:numPr>
          <w:ilvl w:val="0"/>
          <w:numId w:val="0"/>
        </w:numPr>
        <w:spacing w:line="580" w:lineRule="exact"/>
        <w:ind w:firstLine="640" w:firstLineChars="200"/>
        <w:rPr>
          <w:rFonts w:hint="eastAsia" w:eastAsia="方正仿宋简体" w:cs="Times New Roman"/>
          <w:sz w:val="32"/>
          <w:szCs w:val="32"/>
          <w:highlight w:val="none"/>
          <w:lang w:val="en-US" w:eastAsia="zh-CN"/>
        </w:rPr>
      </w:pPr>
      <w:r>
        <w:rPr>
          <w:rFonts w:hint="eastAsia" w:eastAsia="方正仿宋简体" w:cs="Times New Roman"/>
          <w:sz w:val="32"/>
          <w:szCs w:val="32"/>
          <w:highlight w:val="none"/>
          <w:lang w:val="en-US" w:eastAsia="zh-CN"/>
        </w:rPr>
        <w:t>（三）各部门工作成果与数据交流不够充分，绩效评价可能会出现偏差。</w:t>
      </w:r>
    </w:p>
    <w:p>
      <w:pPr>
        <w:numPr>
          <w:ilvl w:val="0"/>
          <w:numId w:val="0"/>
        </w:numPr>
        <w:spacing w:line="580" w:lineRule="exact"/>
        <w:ind w:firstLine="640" w:firstLineChars="200"/>
        <w:rPr>
          <w:rFonts w:hint="eastAsia" w:eastAsia="方正仿宋简体" w:cs="Times New Roman"/>
          <w:sz w:val="32"/>
          <w:szCs w:val="32"/>
          <w:highlight w:val="none"/>
          <w:lang w:val="en-US" w:eastAsia="zh-CN"/>
        </w:rPr>
      </w:pPr>
      <w:r>
        <w:rPr>
          <w:rFonts w:hint="eastAsia" w:eastAsia="方正仿宋简体" w:cs="Times New Roman"/>
          <w:sz w:val="32"/>
          <w:szCs w:val="32"/>
          <w:highlight w:val="none"/>
          <w:lang w:val="en-US" w:eastAsia="zh-CN"/>
        </w:rPr>
        <w:t>（四）有些部门工作人员对绩效评价重要性的认识有待提升。</w:t>
      </w:r>
    </w:p>
    <w:p>
      <w:pPr>
        <w:spacing w:line="580" w:lineRule="exact"/>
        <w:ind w:firstLine="640" w:firstLineChars="200"/>
        <w:rPr>
          <w:rFonts w:eastAsia="方正黑体简体"/>
          <w:sz w:val="32"/>
          <w:szCs w:val="32"/>
        </w:rPr>
      </w:pPr>
      <w:r>
        <w:rPr>
          <w:rFonts w:hint="eastAsia" w:eastAsia="方正黑体简体"/>
          <w:sz w:val="32"/>
          <w:szCs w:val="32"/>
        </w:rPr>
        <w:t>七、建议</w:t>
      </w:r>
    </w:p>
    <w:p>
      <w:pPr>
        <w:numPr>
          <w:ilvl w:val="0"/>
          <w:numId w:val="0"/>
        </w:numPr>
        <w:spacing w:line="580" w:lineRule="exact"/>
        <w:ind w:firstLine="640" w:firstLineChars="200"/>
        <w:rPr>
          <w:rFonts w:hint="eastAsia" w:eastAsia="方正仿宋简体" w:cs="Times New Roman"/>
          <w:sz w:val="32"/>
          <w:szCs w:val="32"/>
          <w:highlight w:val="none"/>
          <w:lang w:val="en-US" w:eastAsia="zh-CN"/>
        </w:rPr>
      </w:pPr>
      <w:r>
        <w:rPr>
          <w:rFonts w:hint="eastAsia" w:eastAsia="方正仿宋简体" w:cs="Times New Roman"/>
          <w:sz w:val="32"/>
          <w:szCs w:val="32"/>
          <w:highlight w:val="none"/>
          <w:lang w:val="en-US" w:eastAsia="zh-CN"/>
        </w:rPr>
        <w:t>（一）合理安排下一年绩效评价目标，使其能够尽量符合预期完成。</w:t>
      </w:r>
    </w:p>
    <w:p>
      <w:pPr>
        <w:numPr>
          <w:ilvl w:val="0"/>
          <w:numId w:val="0"/>
        </w:numPr>
        <w:spacing w:line="580" w:lineRule="exact"/>
        <w:ind w:firstLine="640" w:firstLineChars="200"/>
        <w:rPr>
          <w:rFonts w:hint="eastAsia" w:eastAsia="方正仿宋简体" w:cs="Times New Roman"/>
          <w:sz w:val="32"/>
          <w:szCs w:val="32"/>
          <w:highlight w:val="none"/>
          <w:lang w:val="en-US" w:eastAsia="zh-CN"/>
        </w:rPr>
      </w:pPr>
      <w:r>
        <w:rPr>
          <w:rFonts w:hint="eastAsia" w:eastAsia="方正仿宋简体" w:cs="Times New Roman"/>
          <w:sz w:val="32"/>
          <w:szCs w:val="32"/>
          <w:highlight w:val="none"/>
          <w:lang w:val="en-US" w:eastAsia="zh-CN"/>
        </w:rPr>
        <w:t>（二）希望上级部门能够考虑提供更充足的专项工作资金，以便街道在下一年顺利开展各项专项工作与宣传活动等。</w:t>
      </w:r>
    </w:p>
    <w:p>
      <w:pPr>
        <w:numPr>
          <w:ilvl w:val="0"/>
          <w:numId w:val="0"/>
        </w:numPr>
        <w:spacing w:line="580" w:lineRule="exact"/>
        <w:ind w:firstLine="640" w:firstLineChars="200"/>
        <w:rPr>
          <w:rFonts w:hint="eastAsia" w:eastAsia="方正仿宋简体" w:cs="Times New Roman"/>
          <w:sz w:val="32"/>
          <w:szCs w:val="32"/>
          <w:highlight w:val="none"/>
          <w:lang w:val="en-US" w:eastAsia="zh-CN"/>
        </w:rPr>
      </w:pPr>
      <w:r>
        <w:rPr>
          <w:rFonts w:hint="eastAsia" w:eastAsia="方正仿宋简体" w:cs="Times New Roman"/>
          <w:sz w:val="32"/>
          <w:szCs w:val="32"/>
          <w:highlight w:val="none"/>
          <w:lang w:val="en-US" w:eastAsia="zh-CN"/>
        </w:rPr>
        <w:t>（三）加强各部门的沟通交流，充分利用各部门的工作成果与数据对本街道部门整体绩效工作进行更客观、准确的自我评价。</w:t>
      </w:r>
    </w:p>
    <w:p>
      <w:pPr>
        <w:numPr>
          <w:ilvl w:val="0"/>
          <w:numId w:val="0"/>
        </w:numPr>
        <w:spacing w:line="580" w:lineRule="exact"/>
        <w:ind w:firstLine="640" w:firstLineChars="200"/>
        <w:rPr>
          <w:rFonts w:hint="eastAsia" w:eastAsia="方正仿宋简体" w:cs="Times New Roman"/>
          <w:sz w:val="32"/>
          <w:szCs w:val="32"/>
          <w:highlight w:val="none"/>
          <w:lang w:val="en-US" w:eastAsia="zh-CN"/>
        </w:rPr>
      </w:pPr>
      <w:r>
        <w:rPr>
          <w:rFonts w:hint="eastAsia" w:eastAsia="方正仿宋简体" w:cs="Times New Roman"/>
          <w:sz w:val="32"/>
          <w:szCs w:val="32"/>
          <w:highlight w:val="none"/>
          <w:lang w:val="en-US" w:eastAsia="zh-CN"/>
        </w:rPr>
        <w:t>（四）加强各部门对绩效评价工作重要性的认识，可以在平时的工作会议增加绩效相关工作专项讨论，细化各项绩效评价工作，使各部门工作人员更加充分认识绩效评价工作。</w:t>
      </w:r>
    </w:p>
    <w:p>
      <w:pPr>
        <w:spacing w:line="580" w:lineRule="exact"/>
        <w:ind w:firstLine="640" w:firstLineChars="200"/>
        <w:rPr>
          <w:rFonts w:eastAsia="方正仿宋简体"/>
          <w:sz w:val="32"/>
          <w:szCs w:val="32"/>
        </w:rPr>
      </w:pPr>
    </w:p>
    <w:p>
      <w:pPr>
        <w:spacing w:line="580" w:lineRule="exact"/>
        <w:ind w:firstLine="640" w:firstLineChars="200"/>
        <w:rPr>
          <w:rFonts w:eastAsia="方正仿宋简体"/>
          <w:sz w:val="32"/>
          <w:szCs w:val="32"/>
        </w:rPr>
      </w:pPr>
      <w:r>
        <w:rPr>
          <w:rFonts w:hint="eastAsia" w:eastAsia="方正仿宋简体"/>
          <w:sz w:val="32"/>
          <w:szCs w:val="32"/>
        </w:rPr>
        <w:t>附件：</w:t>
      </w:r>
      <w:r>
        <w:rPr>
          <w:rFonts w:eastAsia="方正仿宋简体"/>
          <w:sz w:val="32"/>
          <w:szCs w:val="32"/>
        </w:rPr>
        <w:t>3-1.202</w:t>
      </w:r>
      <w:r>
        <w:rPr>
          <w:rFonts w:hint="eastAsia" w:eastAsia="方正仿宋简体"/>
          <w:sz w:val="32"/>
          <w:szCs w:val="32"/>
        </w:rPr>
        <w:t>2年度乐至县部门整体支出绩效自评计分表</w:t>
      </w:r>
    </w:p>
    <w:p>
      <w:pPr>
        <w:spacing w:line="580" w:lineRule="exact"/>
        <w:ind w:firstLine="1600" w:firstLineChars="500"/>
        <w:rPr>
          <w:w w:val="90"/>
        </w:rPr>
      </w:pPr>
      <w:r>
        <w:rPr>
          <w:rFonts w:eastAsia="方正仿宋简体"/>
          <w:sz w:val="32"/>
          <w:szCs w:val="32"/>
        </w:rPr>
        <w:t>3-2.</w:t>
      </w:r>
      <w:r>
        <w:rPr>
          <w:rFonts w:eastAsia="方正仿宋简体"/>
          <w:w w:val="90"/>
          <w:sz w:val="32"/>
          <w:szCs w:val="32"/>
        </w:rPr>
        <w:t>202</w:t>
      </w:r>
      <w:r>
        <w:rPr>
          <w:rFonts w:hint="eastAsia" w:eastAsia="方正仿宋简体"/>
          <w:w w:val="90"/>
          <w:sz w:val="32"/>
          <w:szCs w:val="32"/>
        </w:rPr>
        <w:t>2年度乐至县部门整体支出绩效目标完成情况表</w:t>
      </w:r>
    </w:p>
    <w:p>
      <w:pPr>
        <w:widowControl/>
        <w:jc w:val="left"/>
        <w:rPr>
          <w:rFonts w:ascii="??????" w:hAnsi="宋体" w:eastAsia="Times New Roman" w:cs="宋体"/>
          <w:color w:val="000000"/>
          <w:kern w:val="0"/>
          <w:sz w:val="33"/>
          <w:szCs w:val="33"/>
        </w:rPr>
      </w:pPr>
    </w:p>
    <w:p>
      <w:pPr>
        <w:spacing w:line="620" w:lineRule="exact"/>
        <w:ind w:firstLine="400" w:firstLineChars="100"/>
        <w:jc w:val="left"/>
        <w:rPr>
          <w:rFonts w:ascii="宋体" w:hAnsi="宋体" w:eastAsia="方正小标宋简体"/>
          <w:bCs/>
          <w:kern w:val="0"/>
          <w:sz w:val="40"/>
          <w:szCs w:val="40"/>
        </w:rPr>
        <w:sectPr>
          <w:pgSz w:w="11907" w:h="16840"/>
          <w:pgMar w:top="2098" w:right="1474" w:bottom="1928" w:left="1588" w:header="851" w:footer="992" w:gutter="0"/>
          <w:pgBorders>
            <w:top w:val="none" w:sz="0" w:space="0"/>
            <w:left w:val="none" w:sz="0" w:space="0"/>
            <w:bottom w:val="none" w:sz="0" w:space="0"/>
            <w:right w:val="none" w:sz="0" w:space="0"/>
          </w:pgBorders>
          <w:cols w:space="720" w:num="1"/>
          <w:docGrid w:type="lines" w:linePitch="312" w:charSpace="0"/>
        </w:sectPr>
      </w:pPr>
    </w:p>
    <w:p>
      <w:pPr>
        <w:spacing w:line="620" w:lineRule="exact"/>
        <w:jc w:val="left"/>
        <w:rPr>
          <w:rFonts w:eastAsia="方正黑体简体"/>
          <w:bCs/>
          <w:kern w:val="0"/>
          <w:sz w:val="32"/>
          <w:szCs w:val="32"/>
        </w:rPr>
      </w:pPr>
      <w:r>
        <w:rPr>
          <w:rFonts w:hint="eastAsia" w:eastAsia="方正黑体简体"/>
          <w:bCs/>
          <w:kern w:val="0"/>
          <w:sz w:val="32"/>
          <w:szCs w:val="32"/>
        </w:rPr>
        <w:t>附件</w:t>
      </w:r>
      <w:r>
        <w:rPr>
          <w:rFonts w:eastAsia="方正黑体简体"/>
          <w:bCs/>
          <w:kern w:val="0"/>
          <w:sz w:val="32"/>
          <w:szCs w:val="32"/>
        </w:rPr>
        <w:t>3-1</w:t>
      </w:r>
    </w:p>
    <w:p>
      <w:pPr>
        <w:spacing w:line="620" w:lineRule="exact"/>
        <w:jc w:val="center"/>
        <w:rPr>
          <w:rFonts w:eastAsia="方正小标宋简体"/>
          <w:w w:val="90"/>
          <w:kern w:val="0"/>
          <w:sz w:val="44"/>
          <w:szCs w:val="44"/>
        </w:rPr>
      </w:pPr>
      <w:r>
        <w:rPr>
          <w:rFonts w:eastAsia="方正小标宋简体"/>
          <w:bCs/>
          <w:w w:val="90"/>
          <w:kern w:val="0"/>
          <w:sz w:val="44"/>
          <w:szCs w:val="44"/>
        </w:rPr>
        <w:t>202</w:t>
      </w:r>
      <w:r>
        <w:rPr>
          <w:rFonts w:hint="eastAsia" w:eastAsia="方正小标宋简体"/>
          <w:bCs/>
          <w:w w:val="90"/>
          <w:kern w:val="0"/>
          <w:sz w:val="44"/>
          <w:szCs w:val="44"/>
        </w:rPr>
        <w:t>2年度乐至县部门整体支出绩效自评计分表</w:t>
      </w:r>
    </w:p>
    <w:p>
      <w:pPr>
        <w:spacing w:line="620" w:lineRule="exact"/>
        <w:rPr>
          <w:rFonts w:hint="eastAsia" w:eastAsia="宋体"/>
          <w:color w:val="000000"/>
          <w:kern w:val="0"/>
          <w:sz w:val="24"/>
          <w:lang w:eastAsia="zh-CN"/>
        </w:rPr>
      </w:pPr>
      <w:r>
        <w:rPr>
          <w:rFonts w:hint="eastAsia"/>
          <w:color w:val="000000"/>
          <w:kern w:val="0"/>
          <w:sz w:val="24"/>
        </w:rPr>
        <w:t>单位名称：</w:t>
      </w:r>
      <w:r>
        <w:rPr>
          <w:rFonts w:hint="eastAsia"/>
          <w:color w:val="000000"/>
          <w:kern w:val="0"/>
          <w:sz w:val="24"/>
          <w:lang w:eastAsia="zh-CN"/>
        </w:rPr>
        <w:t>乐至县人民政府南塔街道办事处</w:t>
      </w:r>
      <w:r>
        <w:rPr>
          <w:color w:val="000000"/>
          <w:kern w:val="0"/>
          <w:sz w:val="24"/>
        </w:rPr>
        <w:t xml:space="preserve"> </w:t>
      </w:r>
      <w:r>
        <w:rPr>
          <w:rFonts w:hint="eastAsia"/>
          <w:color w:val="000000"/>
          <w:kern w:val="0"/>
          <w:sz w:val="24"/>
          <w:lang w:val="en-US" w:eastAsia="zh-CN"/>
        </w:rPr>
        <w:t xml:space="preserve"> </w:t>
      </w:r>
      <w:r>
        <w:rPr>
          <w:rFonts w:hint="eastAsia"/>
          <w:color w:val="000000"/>
          <w:kern w:val="0"/>
          <w:sz w:val="24"/>
        </w:rPr>
        <w:t>预算单位编码：</w:t>
      </w:r>
      <w:r>
        <w:rPr>
          <w:rFonts w:hint="eastAsia"/>
          <w:color w:val="000000"/>
          <w:kern w:val="0"/>
          <w:sz w:val="24"/>
          <w:lang w:val="en-US" w:eastAsia="zh-CN"/>
        </w:rPr>
        <w:t>301001</w:t>
      </w:r>
      <w:r>
        <w:rPr>
          <w:color w:val="000000"/>
          <w:kern w:val="0"/>
          <w:sz w:val="24"/>
        </w:rPr>
        <w:t xml:space="preserve">  </w:t>
      </w:r>
      <w:r>
        <w:rPr>
          <w:rFonts w:hint="eastAsia"/>
          <w:color w:val="000000"/>
          <w:kern w:val="0"/>
          <w:sz w:val="24"/>
        </w:rPr>
        <w:t>自评等级：</w:t>
      </w:r>
      <w:r>
        <w:rPr>
          <w:rFonts w:hint="eastAsia"/>
          <w:color w:val="000000"/>
          <w:kern w:val="0"/>
          <w:sz w:val="24"/>
          <w:lang w:eastAsia="zh-CN"/>
        </w:rPr>
        <w:t>优</w:t>
      </w:r>
    </w:p>
    <w:tbl>
      <w:tblPr>
        <w:tblStyle w:val="4"/>
        <w:tblW w:w="5329" w:type="pct"/>
        <w:jc w:val="center"/>
        <w:tblLayout w:type="autofit"/>
        <w:tblCellMar>
          <w:top w:w="0" w:type="dxa"/>
          <w:left w:w="28" w:type="dxa"/>
          <w:bottom w:w="0" w:type="dxa"/>
          <w:right w:w="28" w:type="dxa"/>
        </w:tblCellMar>
      </w:tblPr>
      <w:tblGrid>
        <w:gridCol w:w="1474"/>
        <w:gridCol w:w="500"/>
        <w:gridCol w:w="802"/>
        <w:gridCol w:w="2213"/>
        <w:gridCol w:w="2909"/>
        <w:gridCol w:w="693"/>
        <w:gridCol w:w="896"/>
      </w:tblGrid>
      <w:tr>
        <w:tblPrEx>
          <w:tblCellMar>
            <w:top w:w="0" w:type="dxa"/>
            <w:left w:w="28" w:type="dxa"/>
            <w:bottom w:w="0" w:type="dxa"/>
            <w:right w:w="28" w:type="dxa"/>
          </w:tblCellMar>
        </w:tblPrEx>
        <w:trPr>
          <w:trHeight w:val="518" w:hRule="atLeast"/>
          <w:tblHeader/>
          <w:jc w:val="center"/>
        </w:trPr>
        <w:tc>
          <w:tcPr>
            <w:tcW w:w="776" w:type="pct"/>
            <w:tcBorders>
              <w:top w:val="single" w:color="auto" w:sz="12" w:space="0"/>
              <w:left w:val="single" w:color="auto" w:sz="12" w:space="0"/>
              <w:bottom w:val="single" w:color="auto" w:sz="4" w:space="0"/>
              <w:right w:val="single" w:color="auto" w:sz="4" w:space="0"/>
            </w:tcBorders>
            <w:noWrap w:val="0"/>
            <w:vAlign w:val="center"/>
          </w:tcPr>
          <w:p>
            <w:pPr>
              <w:spacing w:line="240" w:lineRule="exact"/>
              <w:jc w:val="center"/>
              <w:rPr>
                <w:rFonts w:eastAsia="方正黑体简体"/>
                <w:szCs w:val="21"/>
              </w:rPr>
            </w:pPr>
            <w:r>
              <w:rPr>
                <w:rFonts w:hint="eastAsia" w:eastAsia="方正黑体简体"/>
                <w:szCs w:val="21"/>
              </w:rPr>
              <w:t>一级指标</w:t>
            </w:r>
          </w:p>
        </w:tc>
        <w:tc>
          <w:tcPr>
            <w:tcW w:w="264" w:type="pct"/>
            <w:tcBorders>
              <w:top w:val="single" w:color="auto" w:sz="12" w:space="0"/>
              <w:left w:val="nil"/>
              <w:bottom w:val="single" w:color="auto" w:sz="4" w:space="0"/>
              <w:right w:val="single" w:color="auto" w:sz="4" w:space="0"/>
            </w:tcBorders>
            <w:noWrap w:val="0"/>
            <w:vAlign w:val="center"/>
          </w:tcPr>
          <w:p>
            <w:pPr>
              <w:spacing w:line="240" w:lineRule="exact"/>
              <w:jc w:val="center"/>
              <w:rPr>
                <w:rFonts w:eastAsia="方正黑体简体"/>
                <w:szCs w:val="21"/>
              </w:rPr>
            </w:pPr>
            <w:r>
              <w:rPr>
                <w:rFonts w:hint="eastAsia" w:eastAsia="方正黑体简体"/>
                <w:szCs w:val="21"/>
              </w:rPr>
              <w:t>二级指标</w:t>
            </w:r>
          </w:p>
        </w:tc>
        <w:tc>
          <w:tcPr>
            <w:tcW w:w="423" w:type="pct"/>
            <w:tcBorders>
              <w:top w:val="single" w:color="auto" w:sz="12" w:space="0"/>
              <w:left w:val="nil"/>
              <w:bottom w:val="single" w:color="auto" w:sz="4" w:space="0"/>
              <w:right w:val="single" w:color="auto" w:sz="4" w:space="0"/>
            </w:tcBorders>
            <w:noWrap w:val="0"/>
            <w:vAlign w:val="center"/>
          </w:tcPr>
          <w:p>
            <w:pPr>
              <w:spacing w:line="240" w:lineRule="exact"/>
              <w:jc w:val="center"/>
              <w:rPr>
                <w:rFonts w:eastAsia="方正黑体简体"/>
                <w:szCs w:val="21"/>
              </w:rPr>
            </w:pPr>
            <w:r>
              <w:rPr>
                <w:rFonts w:hint="eastAsia" w:eastAsia="方正黑体简体"/>
                <w:szCs w:val="21"/>
              </w:rPr>
              <w:t>三级指标</w:t>
            </w:r>
          </w:p>
        </w:tc>
        <w:tc>
          <w:tcPr>
            <w:tcW w:w="1166" w:type="pct"/>
            <w:tcBorders>
              <w:top w:val="single" w:color="auto" w:sz="12" w:space="0"/>
              <w:left w:val="nil"/>
              <w:bottom w:val="single" w:color="auto" w:sz="4" w:space="0"/>
              <w:right w:val="single" w:color="auto" w:sz="4" w:space="0"/>
            </w:tcBorders>
            <w:noWrap w:val="0"/>
            <w:vAlign w:val="center"/>
          </w:tcPr>
          <w:p>
            <w:pPr>
              <w:spacing w:line="240" w:lineRule="exact"/>
              <w:jc w:val="center"/>
              <w:rPr>
                <w:rFonts w:eastAsia="方正黑体简体"/>
                <w:szCs w:val="21"/>
              </w:rPr>
            </w:pPr>
            <w:r>
              <w:rPr>
                <w:rFonts w:hint="eastAsia" w:eastAsia="方正黑体简体"/>
                <w:szCs w:val="21"/>
              </w:rPr>
              <w:t>指标解释</w:t>
            </w:r>
          </w:p>
        </w:tc>
        <w:tc>
          <w:tcPr>
            <w:tcW w:w="1530" w:type="pct"/>
            <w:tcBorders>
              <w:top w:val="single" w:color="auto" w:sz="12" w:space="0"/>
              <w:left w:val="nil"/>
              <w:bottom w:val="single" w:color="auto" w:sz="4" w:space="0"/>
              <w:right w:val="single" w:color="auto" w:sz="4" w:space="0"/>
            </w:tcBorders>
            <w:noWrap w:val="0"/>
            <w:vAlign w:val="center"/>
          </w:tcPr>
          <w:p>
            <w:pPr>
              <w:spacing w:line="240" w:lineRule="exact"/>
              <w:jc w:val="center"/>
              <w:rPr>
                <w:rFonts w:eastAsia="方正黑体简体"/>
                <w:szCs w:val="21"/>
              </w:rPr>
            </w:pPr>
            <w:r>
              <w:rPr>
                <w:rFonts w:hint="eastAsia" w:eastAsia="方正黑体简体"/>
                <w:szCs w:val="21"/>
              </w:rPr>
              <w:t>指标说明</w:t>
            </w:r>
            <w:r>
              <w:rPr>
                <w:rFonts w:eastAsia="方正黑体简体"/>
                <w:szCs w:val="21"/>
              </w:rPr>
              <w:t>(</w:t>
            </w:r>
            <w:r>
              <w:rPr>
                <w:rFonts w:hint="eastAsia" w:eastAsia="方正黑体简体"/>
                <w:szCs w:val="21"/>
              </w:rPr>
              <w:t>评价计分标准）</w:t>
            </w:r>
          </w:p>
        </w:tc>
        <w:tc>
          <w:tcPr>
            <w:tcW w:w="365" w:type="pct"/>
            <w:tcBorders>
              <w:top w:val="single" w:color="auto" w:sz="12" w:space="0"/>
              <w:left w:val="nil"/>
              <w:bottom w:val="single" w:color="auto" w:sz="4" w:space="0"/>
              <w:right w:val="single" w:color="auto" w:sz="4" w:space="0"/>
            </w:tcBorders>
            <w:noWrap w:val="0"/>
            <w:vAlign w:val="center"/>
          </w:tcPr>
          <w:p>
            <w:pPr>
              <w:spacing w:line="240" w:lineRule="exact"/>
              <w:jc w:val="center"/>
              <w:rPr>
                <w:rFonts w:eastAsia="方正黑体简体"/>
                <w:szCs w:val="21"/>
              </w:rPr>
            </w:pPr>
            <w:r>
              <w:rPr>
                <w:rFonts w:hint="eastAsia" w:eastAsia="方正黑体简体"/>
                <w:szCs w:val="21"/>
              </w:rPr>
              <w:t>自评</w:t>
            </w:r>
          </w:p>
          <w:p>
            <w:pPr>
              <w:spacing w:line="240" w:lineRule="exact"/>
              <w:jc w:val="center"/>
              <w:rPr>
                <w:rFonts w:eastAsia="方正黑体简体"/>
                <w:szCs w:val="21"/>
              </w:rPr>
            </w:pPr>
            <w:r>
              <w:rPr>
                <w:rFonts w:hint="eastAsia" w:eastAsia="方正黑体简体"/>
                <w:szCs w:val="21"/>
              </w:rPr>
              <w:t>分数</w:t>
            </w:r>
          </w:p>
        </w:tc>
        <w:tc>
          <w:tcPr>
            <w:tcW w:w="472" w:type="pct"/>
            <w:tcBorders>
              <w:top w:val="single" w:color="auto" w:sz="12" w:space="0"/>
              <w:left w:val="nil"/>
              <w:bottom w:val="single" w:color="auto" w:sz="4" w:space="0"/>
              <w:right w:val="single" w:color="auto" w:sz="12" w:space="0"/>
            </w:tcBorders>
            <w:noWrap w:val="0"/>
            <w:vAlign w:val="center"/>
          </w:tcPr>
          <w:p>
            <w:pPr>
              <w:spacing w:line="240" w:lineRule="exact"/>
              <w:jc w:val="center"/>
              <w:rPr>
                <w:rFonts w:eastAsia="方正黑体简体"/>
                <w:szCs w:val="21"/>
              </w:rPr>
            </w:pPr>
            <w:r>
              <w:rPr>
                <w:rFonts w:hint="eastAsia" w:eastAsia="方正黑体简体"/>
                <w:szCs w:val="21"/>
              </w:rPr>
              <w:t>自评</w:t>
            </w:r>
          </w:p>
          <w:p>
            <w:pPr>
              <w:spacing w:line="240" w:lineRule="exact"/>
              <w:jc w:val="center"/>
              <w:rPr>
                <w:rFonts w:eastAsia="方正黑体简体"/>
                <w:szCs w:val="21"/>
              </w:rPr>
            </w:pPr>
            <w:r>
              <w:rPr>
                <w:rFonts w:hint="eastAsia" w:eastAsia="方正黑体简体"/>
                <w:szCs w:val="21"/>
              </w:rPr>
              <w:t>依据及说明</w:t>
            </w:r>
          </w:p>
        </w:tc>
      </w:tr>
      <w:tr>
        <w:tblPrEx>
          <w:tblCellMar>
            <w:top w:w="0" w:type="dxa"/>
            <w:left w:w="28" w:type="dxa"/>
            <w:bottom w:w="0" w:type="dxa"/>
            <w:right w:w="28" w:type="dxa"/>
          </w:tblCellMar>
        </w:tblPrEx>
        <w:trPr>
          <w:trHeight w:val="1330" w:hRule="atLeast"/>
          <w:jc w:val="center"/>
        </w:trPr>
        <w:tc>
          <w:tcPr>
            <w:tcW w:w="776" w:type="pct"/>
            <w:vMerge w:val="restart"/>
            <w:tcBorders>
              <w:top w:val="nil"/>
              <w:left w:val="single" w:color="auto" w:sz="12" w:space="0"/>
              <w:bottom w:val="single" w:color="000000" w:sz="4" w:space="0"/>
              <w:right w:val="single" w:color="auto" w:sz="4" w:space="0"/>
            </w:tcBorders>
            <w:noWrap/>
            <w:vAlign w:val="center"/>
          </w:tcPr>
          <w:p>
            <w:pPr>
              <w:spacing w:line="240" w:lineRule="exact"/>
              <w:jc w:val="center"/>
              <w:rPr>
                <w:szCs w:val="21"/>
              </w:rPr>
            </w:pPr>
            <w:r>
              <w:rPr>
                <w:rFonts w:hint="eastAsia"/>
                <w:szCs w:val="21"/>
              </w:rPr>
              <w:t>投入（</w:t>
            </w:r>
            <w:r>
              <w:rPr>
                <w:szCs w:val="21"/>
              </w:rPr>
              <w:t>20</w:t>
            </w:r>
            <w:r>
              <w:rPr>
                <w:rFonts w:hint="eastAsia"/>
                <w:szCs w:val="21"/>
              </w:rPr>
              <w:t>分）</w:t>
            </w:r>
          </w:p>
        </w:tc>
        <w:tc>
          <w:tcPr>
            <w:tcW w:w="264" w:type="pct"/>
            <w:vMerge w:val="restart"/>
            <w:tcBorders>
              <w:top w:val="nil"/>
              <w:left w:val="single" w:color="auto" w:sz="4" w:space="0"/>
              <w:bottom w:val="single" w:color="auto" w:sz="4" w:space="0"/>
              <w:right w:val="single" w:color="auto" w:sz="4" w:space="0"/>
            </w:tcBorders>
            <w:noWrap w:val="0"/>
            <w:vAlign w:val="center"/>
          </w:tcPr>
          <w:p>
            <w:pPr>
              <w:spacing w:line="240" w:lineRule="exact"/>
              <w:jc w:val="center"/>
              <w:rPr>
                <w:szCs w:val="21"/>
              </w:rPr>
            </w:pPr>
            <w:r>
              <w:rPr>
                <w:rFonts w:hint="eastAsia"/>
                <w:szCs w:val="21"/>
              </w:rPr>
              <w:t>目标设定（</w:t>
            </w:r>
            <w:r>
              <w:rPr>
                <w:szCs w:val="21"/>
              </w:rPr>
              <w:t>5</w:t>
            </w:r>
            <w:r>
              <w:rPr>
                <w:rFonts w:hint="eastAsia"/>
                <w:szCs w:val="21"/>
              </w:rPr>
              <w:t>分）</w:t>
            </w:r>
          </w:p>
        </w:tc>
        <w:tc>
          <w:tcPr>
            <w:tcW w:w="423" w:type="pct"/>
            <w:tcBorders>
              <w:top w:val="nil"/>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绩效目标合理性（</w:t>
            </w:r>
            <w:r>
              <w:rPr>
                <w:szCs w:val="21"/>
              </w:rPr>
              <w:t>2</w:t>
            </w:r>
            <w:r>
              <w:rPr>
                <w:rFonts w:hint="eastAsia"/>
                <w:szCs w:val="21"/>
              </w:rPr>
              <w:t>分）</w:t>
            </w:r>
          </w:p>
        </w:tc>
        <w:tc>
          <w:tcPr>
            <w:tcW w:w="1166"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部门（单位）所设立的整体绩效目标依据是否充分，是否符合客观实际，用以反映和考核部门（单位）整体绩效目标与部门履职、年度工作任务的相符性情况。</w:t>
            </w:r>
          </w:p>
        </w:tc>
        <w:tc>
          <w:tcPr>
            <w:tcW w:w="1530"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①是否符合国家法律法规、国民经济和社会发展总体规划；</w:t>
            </w:r>
            <w:r>
              <w:rPr>
                <w:szCs w:val="21"/>
              </w:rPr>
              <w:t>(1</w:t>
            </w:r>
            <w:r>
              <w:rPr>
                <w:rFonts w:hint="eastAsia"/>
                <w:szCs w:val="21"/>
              </w:rPr>
              <w:t>分）</w:t>
            </w:r>
          </w:p>
          <w:p>
            <w:pPr>
              <w:spacing w:line="240" w:lineRule="exact"/>
              <w:rPr>
                <w:szCs w:val="21"/>
              </w:rPr>
            </w:pPr>
            <w:r>
              <w:rPr>
                <w:rFonts w:hint="eastAsia"/>
                <w:szCs w:val="21"/>
              </w:rPr>
              <w:t>②是否符合部门“三定”方案确定的职责；（</w:t>
            </w:r>
            <w:r>
              <w:rPr>
                <w:szCs w:val="21"/>
              </w:rPr>
              <w:t>0.5</w:t>
            </w:r>
            <w:r>
              <w:rPr>
                <w:rFonts w:hint="eastAsia"/>
                <w:szCs w:val="21"/>
              </w:rPr>
              <w:t>分）</w:t>
            </w:r>
          </w:p>
          <w:p>
            <w:pPr>
              <w:spacing w:line="240" w:lineRule="exact"/>
              <w:rPr>
                <w:szCs w:val="21"/>
              </w:rPr>
            </w:pPr>
            <w:r>
              <w:rPr>
                <w:rFonts w:hint="eastAsia"/>
                <w:szCs w:val="21"/>
              </w:rPr>
              <w:t>③是否符合部门制定的中长期实施规划。（</w:t>
            </w:r>
            <w:r>
              <w:rPr>
                <w:szCs w:val="21"/>
              </w:rPr>
              <w:t>0.5</w:t>
            </w:r>
            <w:r>
              <w:rPr>
                <w:rFonts w:hint="eastAsia"/>
                <w:szCs w:val="21"/>
              </w:rPr>
              <w:t>分）</w:t>
            </w:r>
          </w:p>
        </w:tc>
        <w:tc>
          <w:tcPr>
            <w:tcW w:w="365" w:type="pct"/>
            <w:tcBorders>
              <w:top w:val="nil"/>
              <w:left w:val="nil"/>
              <w:bottom w:val="single" w:color="auto" w:sz="4" w:space="0"/>
              <w:right w:val="single" w:color="auto" w:sz="4" w:space="0"/>
            </w:tcBorders>
            <w:noWrap/>
            <w:vAlign w:val="center"/>
          </w:tcPr>
          <w:p>
            <w:pPr>
              <w:spacing w:line="240" w:lineRule="exact"/>
              <w:jc w:val="center"/>
              <w:rPr>
                <w:rFonts w:hint="eastAsia" w:eastAsia="宋体"/>
                <w:szCs w:val="21"/>
                <w:lang w:val="en-US" w:eastAsia="zh-CN"/>
              </w:rPr>
            </w:pPr>
            <w:r>
              <w:rPr>
                <w:rFonts w:hint="eastAsia"/>
                <w:szCs w:val="21"/>
                <w:lang w:val="en-US" w:eastAsia="zh-CN"/>
              </w:rPr>
              <w:t>2</w:t>
            </w:r>
          </w:p>
        </w:tc>
        <w:tc>
          <w:tcPr>
            <w:tcW w:w="472" w:type="pct"/>
            <w:tcBorders>
              <w:top w:val="nil"/>
              <w:left w:val="nil"/>
              <w:bottom w:val="single" w:color="auto" w:sz="4" w:space="0"/>
              <w:right w:val="single" w:color="auto" w:sz="12" w:space="0"/>
            </w:tcBorders>
            <w:noWrap/>
            <w:vAlign w:val="center"/>
          </w:tcPr>
          <w:p>
            <w:pPr>
              <w:spacing w:line="240" w:lineRule="exact"/>
              <w:jc w:val="center"/>
              <w:rPr>
                <w:rFonts w:hint="eastAsia" w:eastAsia="宋体"/>
                <w:szCs w:val="21"/>
                <w:lang w:eastAsia="zh-CN"/>
              </w:rPr>
            </w:pPr>
            <w:r>
              <w:rPr>
                <w:rFonts w:hint="eastAsia"/>
                <w:szCs w:val="21"/>
                <w:lang w:eastAsia="zh-CN"/>
              </w:rPr>
              <w:t>符合要求</w:t>
            </w:r>
          </w:p>
        </w:tc>
      </w:tr>
      <w:tr>
        <w:tblPrEx>
          <w:tblCellMar>
            <w:top w:w="0" w:type="dxa"/>
            <w:left w:w="28" w:type="dxa"/>
            <w:bottom w:w="0" w:type="dxa"/>
            <w:right w:w="28" w:type="dxa"/>
          </w:tblCellMar>
        </w:tblPrEx>
        <w:trPr>
          <w:trHeight w:val="1447" w:hRule="atLeast"/>
          <w:jc w:val="center"/>
        </w:trPr>
        <w:tc>
          <w:tcPr>
            <w:tcW w:w="776" w:type="pct"/>
            <w:vMerge w:val="continue"/>
            <w:tcBorders>
              <w:top w:val="nil"/>
              <w:left w:val="single" w:color="auto" w:sz="12" w:space="0"/>
              <w:bottom w:val="single" w:color="000000" w:sz="4" w:space="0"/>
              <w:right w:val="single" w:color="auto" w:sz="4" w:space="0"/>
            </w:tcBorders>
            <w:noWrap w:val="0"/>
            <w:vAlign w:val="center"/>
          </w:tcPr>
          <w:p>
            <w:pPr>
              <w:spacing w:line="240" w:lineRule="exact"/>
              <w:jc w:val="center"/>
              <w:rPr>
                <w:szCs w:val="21"/>
              </w:rPr>
            </w:pPr>
          </w:p>
        </w:tc>
        <w:tc>
          <w:tcPr>
            <w:tcW w:w="264" w:type="pct"/>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szCs w:val="21"/>
              </w:rPr>
            </w:pPr>
          </w:p>
        </w:tc>
        <w:tc>
          <w:tcPr>
            <w:tcW w:w="423" w:type="pct"/>
            <w:tcBorders>
              <w:top w:val="nil"/>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绩效指标明确性（</w:t>
            </w:r>
            <w:r>
              <w:rPr>
                <w:szCs w:val="21"/>
              </w:rPr>
              <w:t>3</w:t>
            </w:r>
            <w:r>
              <w:rPr>
                <w:rFonts w:hint="eastAsia"/>
                <w:szCs w:val="21"/>
              </w:rPr>
              <w:t>分）</w:t>
            </w:r>
          </w:p>
        </w:tc>
        <w:tc>
          <w:tcPr>
            <w:tcW w:w="1166"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部门（单位）依据整体绩效目标所设定的绩效指标是否清晰、细化、可衡量，用以反映和考核部门（单位）整体绩效目标的明细化情况。</w:t>
            </w:r>
          </w:p>
        </w:tc>
        <w:tc>
          <w:tcPr>
            <w:tcW w:w="1530"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①是否将部门整体的绩效目标细化分解为具体的工作任务；（</w:t>
            </w:r>
            <w:r>
              <w:rPr>
                <w:szCs w:val="21"/>
              </w:rPr>
              <w:t>1</w:t>
            </w:r>
            <w:r>
              <w:rPr>
                <w:rFonts w:hint="eastAsia"/>
                <w:szCs w:val="21"/>
              </w:rPr>
              <w:t>分）</w:t>
            </w:r>
          </w:p>
          <w:p>
            <w:pPr>
              <w:spacing w:line="240" w:lineRule="exact"/>
              <w:rPr>
                <w:szCs w:val="21"/>
              </w:rPr>
            </w:pPr>
            <w:r>
              <w:rPr>
                <w:rFonts w:hint="eastAsia"/>
                <w:szCs w:val="21"/>
              </w:rPr>
              <w:t>②是否通过清晰、可衡量的指标值予以体现</w:t>
            </w:r>
            <w:r>
              <w:rPr>
                <w:szCs w:val="21"/>
              </w:rPr>
              <w:t>;(0.5</w:t>
            </w:r>
            <w:r>
              <w:rPr>
                <w:rFonts w:hint="eastAsia"/>
                <w:szCs w:val="21"/>
              </w:rPr>
              <w:t>分）</w:t>
            </w:r>
            <w:r>
              <w:rPr>
                <w:szCs w:val="21"/>
              </w:rPr>
              <w:t xml:space="preserve">    </w:t>
            </w:r>
            <w:r>
              <w:rPr>
                <w:rFonts w:hint="eastAsia"/>
                <w:szCs w:val="21"/>
              </w:rPr>
              <w:t>③是否与部门年度的任务数或计划数相对应；（</w:t>
            </w:r>
            <w:r>
              <w:rPr>
                <w:szCs w:val="21"/>
              </w:rPr>
              <w:t>0.5</w:t>
            </w:r>
            <w:r>
              <w:rPr>
                <w:rFonts w:hint="eastAsia"/>
                <w:szCs w:val="21"/>
              </w:rPr>
              <w:t>分）</w:t>
            </w:r>
          </w:p>
          <w:p>
            <w:pPr>
              <w:spacing w:line="240" w:lineRule="exact"/>
              <w:rPr>
                <w:szCs w:val="21"/>
              </w:rPr>
            </w:pPr>
            <w:r>
              <w:rPr>
                <w:rFonts w:hint="eastAsia"/>
                <w:szCs w:val="21"/>
              </w:rPr>
              <w:t>④是否与本年度部门预算资金相匹配。（</w:t>
            </w:r>
            <w:r>
              <w:rPr>
                <w:szCs w:val="21"/>
              </w:rPr>
              <w:t>1</w:t>
            </w:r>
            <w:r>
              <w:rPr>
                <w:rFonts w:hint="eastAsia"/>
                <w:szCs w:val="21"/>
              </w:rPr>
              <w:t>分）</w:t>
            </w:r>
          </w:p>
        </w:tc>
        <w:tc>
          <w:tcPr>
            <w:tcW w:w="365" w:type="pct"/>
            <w:tcBorders>
              <w:top w:val="nil"/>
              <w:left w:val="nil"/>
              <w:bottom w:val="single" w:color="auto" w:sz="4" w:space="0"/>
              <w:right w:val="single" w:color="auto" w:sz="4" w:space="0"/>
            </w:tcBorders>
            <w:noWrap/>
            <w:vAlign w:val="center"/>
          </w:tcPr>
          <w:p>
            <w:pPr>
              <w:spacing w:line="240" w:lineRule="exact"/>
              <w:jc w:val="center"/>
              <w:rPr>
                <w:rFonts w:hint="eastAsia" w:eastAsia="宋体"/>
                <w:szCs w:val="21"/>
                <w:lang w:val="en-US" w:eastAsia="zh-CN"/>
              </w:rPr>
            </w:pPr>
            <w:r>
              <w:rPr>
                <w:rFonts w:hint="eastAsia"/>
                <w:szCs w:val="21"/>
                <w:lang w:val="en-US" w:eastAsia="zh-CN"/>
              </w:rPr>
              <w:t>3</w:t>
            </w:r>
          </w:p>
        </w:tc>
        <w:tc>
          <w:tcPr>
            <w:tcW w:w="472" w:type="pct"/>
            <w:tcBorders>
              <w:top w:val="nil"/>
              <w:left w:val="nil"/>
              <w:bottom w:val="single" w:color="auto" w:sz="4" w:space="0"/>
              <w:right w:val="single" w:color="auto" w:sz="12" w:space="0"/>
            </w:tcBorders>
            <w:noWrap/>
            <w:vAlign w:val="center"/>
          </w:tcPr>
          <w:p>
            <w:pPr>
              <w:spacing w:line="240" w:lineRule="exact"/>
              <w:jc w:val="center"/>
              <w:rPr>
                <w:szCs w:val="21"/>
              </w:rPr>
            </w:pPr>
            <w:r>
              <w:rPr>
                <w:rFonts w:hint="eastAsia"/>
                <w:szCs w:val="21"/>
                <w:lang w:eastAsia="zh-CN"/>
              </w:rPr>
              <w:t>符合要求</w:t>
            </w:r>
          </w:p>
        </w:tc>
      </w:tr>
      <w:tr>
        <w:tblPrEx>
          <w:tblCellMar>
            <w:top w:w="0" w:type="dxa"/>
            <w:left w:w="28" w:type="dxa"/>
            <w:bottom w:w="0" w:type="dxa"/>
            <w:right w:w="28" w:type="dxa"/>
          </w:tblCellMar>
        </w:tblPrEx>
        <w:trPr>
          <w:trHeight w:val="1200" w:hRule="atLeast"/>
          <w:jc w:val="center"/>
        </w:trPr>
        <w:tc>
          <w:tcPr>
            <w:tcW w:w="776" w:type="pct"/>
            <w:vMerge w:val="continue"/>
            <w:tcBorders>
              <w:top w:val="nil"/>
              <w:left w:val="single" w:color="auto" w:sz="12" w:space="0"/>
              <w:bottom w:val="single" w:color="000000" w:sz="4" w:space="0"/>
              <w:right w:val="single" w:color="auto" w:sz="4" w:space="0"/>
            </w:tcBorders>
            <w:noWrap w:val="0"/>
            <w:vAlign w:val="center"/>
          </w:tcPr>
          <w:p>
            <w:pPr>
              <w:spacing w:line="240" w:lineRule="exact"/>
              <w:jc w:val="center"/>
              <w:rPr>
                <w:szCs w:val="21"/>
              </w:rPr>
            </w:pPr>
          </w:p>
        </w:tc>
        <w:tc>
          <w:tcPr>
            <w:tcW w:w="264" w:type="pct"/>
            <w:vMerge w:val="restart"/>
            <w:tcBorders>
              <w:top w:val="nil"/>
              <w:left w:val="single" w:color="auto" w:sz="4" w:space="0"/>
              <w:bottom w:val="single" w:color="000000" w:sz="4" w:space="0"/>
              <w:right w:val="single" w:color="auto" w:sz="4" w:space="0"/>
            </w:tcBorders>
            <w:noWrap w:val="0"/>
            <w:vAlign w:val="center"/>
          </w:tcPr>
          <w:p>
            <w:pPr>
              <w:spacing w:line="240" w:lineRule="exact"/>
              <w:jc w:val="center"/>
              <w:rPr>
                <w:szCs w:val="21"/>
              </w:rPr>
            </w:pPr>
            <w:r>
              <w:rPr>
                <w:rFonts w:hint="eastAsia"/>
                <w:szCs w:val="21"/>
              </w:rPr>
              <w:t>预算配置（</w:t>
            </w:r>
            <w:r>
              <w:rPr>
                <w:szCs w:val="21"/>
              </w:rPr>
              <w:t>15</w:t>
            </w:r>
            <w:r>
              <w:rPr>
                <w:rFonts w:hint="eastAsia"/>
                <w:szCs w:val="21"/>
              </w:rPr>
              <w:t>分）</w:t>
            </w:r>
          </w:p>
        </w:tc>
        <w:tc>
          <w:tcPr>
            <w:tcW w:w="423" w:type="pct"/>
            <w:tcBorders>
              <w:top w:val="nil"/>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在职人员控制率（</w:t>
            </w:r>
            <w:r>
              <w:rPr>
                <w:szCs w:val="21"/>
              </w:rPr>
              <w:t>5</w:t>
            </w:r>
            <w:r>
              <w:rPr>
                <w:rFonts w:hint="eastAsia"/>
                <w:szCs w:val="21"/>
              </w:rPr>
              <w:t>分）</w:t>
            </w:r>
          </w:p>
        </w:tc>
        <w:tc>
          <w:tcPr>
            <w:tcW w:w="1166"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部门（单位）本年度实际在职人员数与编制数的比率，用以反映和考核部门（单位）对人员成本的控制程度。</w:t>
            </w:r>
          </w:p>
        </w:tc>
        <w:tc>
          <w:tcPr>
            <w:tcW w:w="1530"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在职人员控制率</w:t>
            </w:r>
            <w:r>
              <w:rPr>
                <w:szCs w:val="21"/>
              </w:rPr>
              <w:t>=</w:t>
            </w:r>
            <w:r>
              <w:rPr>
                <w:rFonts w:hint="eastAsia"/>
                <w:szCs w:val="21"/>
              </w:rPr>
              <w:t>（在职人员数</w:t>
            </w:r>
            <w:r>
              <w:rPr>
                <w:szCs w:val="21"/>
              </w:rPr>
              <w:t>/</w:t>
            </w:r>
            <w:r>
              <w:rPr>
                <w:rFonts w:hint="eastAsia"/>
                <w:szCs w:val="21"/>
              </w:rPr>
              <w:t>编制数）×</w:t>
            </w:r>
            <w:r>
              <w:rPr>
                <w:szCs w:val="21"/>
              </w:rPr>
              <w:t>100%</w:t>
            </w:r>
            <w:r>
              <w:rPr>
                <w:rFonts w:hint="eastAsia"/>
                <w:szCs w:val="21"/>
              </w:rPr>
              <w:t>。（小于或等于</w:t>
            </w:r>
            <w:r>
              <w:rPr>
                <w:szCs w:val="21"/>
              </w:rPr>
              <w:t>1</w:t>
            </w:r>
            <w:r>
              <w:rPr>
                <w:rFonts w:hint="eastAsia"/>
                <w:szCs w:val="21"/>
              </w:rPr>
              <w:t>计</w:t>
            </w:r>
            <w:r>
              <w:rPr>
                <w:szCs w:val="21"/>
              </w:rPr>
              <w:t>5</w:t>
            </w:r>
            <w:r>
              <w:rPr>
                <w:rFonts w:hint="eastAsia"/>
                <w:szCs w:val="21"/>
              </w:rPr>
              <w:t>分，否则按比例计分）</w:t>
            </w:r>
          </w:p>
          <w:p>
            <w:pPr>
              <w:spacing w:line="240" w:lineRule="exact"/>
              <w:rPr>
                <w:szCs w:val="21"/>
              </w:rPr>
            </w:pPr>
            <w:r>
              <w:rPr>
                <w:rFonts w:hint="eastAsia"/>
                <w:szCs w:val="21"/>
              </w:rPr>
              <w:t>在职人员数：部门（单位）实际在职人数，以财政部确定的部门决算编制口径为准。</w:t>
            </w:r>
          </w:p>
          <w:p>
            <w:pPr>
              <w:spacing w:line="240" w:lineRule="exact"/>
              <w:rPr>
                <w:szCs w:val="21"/>
              </w:rPr>
            </w:pPr>
            <w:r>
              <w:rPr>
                <w:rFonts w:hint="eastAsia"/>
                <w:szCs w:val="21"/>
              </w:rPr>
              <w:t>编制数：机构编制部门核定批复的部门（单位）的人员编制数。</w:t>
            </w:r>
          </w:p>
        </w:tc>
        <w:tc>
          <w:tcPr>
            <w:tcW w:w="365" w:type="pct"/>
            <w:tcBorders>
              <w:top w:val="nil"/>
              <w:left w:val="nil"/>
              <w:bottom w:val="single" w:color="auto" w:sz="4" w:space="0"/>
              <w:right w:val="single" w:color="auto" w:sz="4" w:space="0"/>
            </w:tcBorders>
            <w:noWrap/>
            <w:vAlign w:val="center"/>
          </w:tcPr>
          <w:p>
            <w:pPr>
              <w:spacing w:line="240" w:lineRule="exact"/>
              <w:jc w:val="center"/>
              <w:rPr>
                <w:rFonts w:hint="eastAsia" w:eastAsia="宋体"/>
                <w:szCs w:val="21"/>
                <w:lang w:val="en-US" w:eastAsia="zh-CN"/>
              </w:rPr>
            </w:pPr>
            <w:r>
              <w:rPr>
                <w:rFonts w:hint="eastAsia"/>
                <w:szCs w:val="21"/>
                <w:lang w:val="en-US" w:eastAsia="zh-CN"/>
              </w:rPr>
              <w:t>5</w:t>
            </w:r>
          </w:p>
        </w:tc>
        <w:tc>
          <w:tcPr>
            <w:tcW w:w="472" w:type="pct"/>
            <w:tcBorders>
              <w:top w:val="nil"/>
              <w:left w:val="nil"/>
              <w:bottom w:val="single" w:color="auto" w:sz="4" w:space="0"/>
              <w:right w:val="single" w:color="auto" w:sz="12" w:space="0"/>
            </w:tcBorders>
            <w:noWrap/>
            <w:vAlign w:val="center"/>
          </w:tcPr>
          <w:p>
            <w:pPr>
              <w:spacing w:line="240" w:lineRule="exact"/>
              <w:jc w:val="center"/>
              <w:rPr>
                <w:szCs w:val="21"/>
              </w:rPr>
            </w:pPr>
            <w:r>
              <w:rPr>
                <w:rFonts w:hint="eastAsia"/>
                <w:szCs w:val="21"/>
                <w:lang w:eastAsia="zh-CN"/>
              </w:rPr>
              <w:t>符合要求</w:t>
            </w:r>
          </w:p>
        </w:tc>
      </w:tr>
      <w:tr>
        <w:tblPrEx>
          <w:tblCellMar>
            <w:top w:w="0" w:type="dxa"/>
            <w:left w:w="28" w:type="dxa"/>
            <w:bottom w:w="0" w:type="dxa"/>
            <w:right w:w="28" w:type="dxa"/>
          </w:tblCellMar>
        </w:tblPrEx>
        <w:trPr>
          <w:trHeight w:val="1259" w:hRule="atLeast"/>
          <w:jc w:val="center"/>
        </w:trPr>
        <w:tc>
          <w:tcPr>
            <w:tcW w:w="776" w:type="pct"/>
            <w:vMerge w:val="continue"/>
            <w:tcBorders>
              <w:top w:val="nil"/>
              <w:left w:val="single" w:color="auto" w:sz="12" w:space="0"/>
              <w:bottom w:val="single" w:color="000000" w:sz="4" w:space="0"/>
              <w:right w:val="single" w:color="auto" w:sz="4" w:space="0"/>
            </w:tcBorders>
            <w:noWrap w:val="0"/>
            <w:vAlign w:val="center"/>
          </w:tcPr>
          <w:p>
            <w:pPr>
              <w:spacing w:line="240" w:lineRule="exact"/>
              <w:jc w:val="center"/>
              <w:rPr>
                <w:szCs w:val="21"/>
              </w:rPr>
            </w:pPr>
          </w:p>
        </w:tc>
        <w:tc>
          <w:tcPr>
            <w:tcW w:w="264" w:type="pct"/>
            <w:vMerge w:val="continue"/>
            <w:tcBorders>
              <w:top w:val="nil"/>
              <w:left w:val="single" w:color="auto" w:sz="4" w:space="0"/>
              <w:bottom w:val="single" w:color="000000" w:sz="4" w:space="0"/>
              <w:right w:val="single" w:color="auto" w:sz="4" w:space="0"/>
            </w:tcBorders>
            <w:noWrap w:val="0"/>
            <w:vAlign w:val="center"/>
          </w:tcPr>
          <w:p>
            <w:pPr>
              <w:spacing w:line="240" w:lineRule="exact"/>
              <w:jc w:val="center"/>
              <w:rPr>
                <w:szCs w:val="21"/>
              </w:rPr>
            </w:pPr>
          </w:p>
        </w:tc>
        <w:tc>
          <w:tcPr>
            <w:tcW w:w="423" w:type="pct"/>
            <w:tcBorders>
              <w:top w:val="nil"/>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“三公经费”变动率（</w:t>
            </w:r>
            <w:r>
              <w:rPr>
                <w:szCs w:val="21"/>
              </w:rPr>
              <w:t>5</w:t>
            </w:r>
            <w:r>
              <w:rPr>
                <w:rFonts w:hint="eastAsia"/>
                <w:szCs w:val="21"/>
              </w:rPr>
              <w:t>分）</w:t>
            </w:r>
          </w:p>
        </w:tc>
        <w:tc>
          <w:tcPr>
            <w:tcW w:w="1166"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部门（单位）本年度“三公经费”预算数与上年度“三公经费”预算数的变动比率，用以反映和考核部门（单位）对控制重点行政成本的努力程度。</w:t>
            </w:r>
          </w:p>
        </w:tc>
        <w:tc>
          <w:tcPr>
            <w:tcW w:w="1530"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“三公经费”变动率</w:t>
            </w:r>
            <w:r>
              <w:rPr>
                <w:szCs w:val="21"/>
              </w:rPr>
              <w:t>=[</w:t>
            </w:r>
            <w:r>
              <w:rPr>
                <w:rFonts w:hint="eastAsia"/>
                <w:szCs w:val="21"/>
              </w:rPr>
              <w:t>（本年度“三公经费”总额</w:t>
            </w:r>
            <w:r>
              <w:rPr>
                <w:szCs w:val="21"/>
              </w:rPr>
              <w:t>-</w:t>
            </w:r>
            <w:r>
              <w:rPr>
                <w:rFonts w:hint="eastAsia"/>
                <w:szCs w:val="21"/>
              </w:rPr>
              <w:t>上年度“三公经费”总额）</w:t>
            </w:r>
            <w:r>
              <w:rPr>
                <w:szCs w:val="21"/>
              </w:rPr>
              <w:t>/</w:t>
            </w:r>
            <w:r>
              <w:rPr>
                <w:rFonts w:hint="eastAsia"/>
                <w:szCs w:val="21"/>
              </w:rPr>
              <w:t>上年度“三公经费”总额</w:t>
            </w:r>
            <w:r>
              <w:rPr>
                <w:szCs w:val="21"/>
              </w:rPr>
              <w:t>]</w:t>
            </w:r>
            <w:r>
              <w:rPr>
                <w:rFonts w:hint="eastAsia"/>
                <w:szCs w:val="21"/>
              </w:rPr>
              <w:t>×</w:t>
            </w:r>
            <w:r>
              <w:rPr>
                <w:szCs w:val="21"/>
              </w:rPr>
              <w:t>100%</w:t>
            </w:r>
            <w:r>
              <w:rPr>
                <w:rFonts w:hint="eastAsia"/>
                <w:szCs w:val="21"/>
              </w:rPr>
              <w:t>。（下降的计</w:t>
            </w:r>
            <w:r>
              <w:rPr>
                <w:szCs w:val="21"/>
              </w:rPr>
              <w:t>5</w:t>
            </w:r>
            <w:r>
              <w:rPr>
                <w:rFonts w:hint="eastAsia"/>
                <w:szCs w:val="21"/>
              </w:rPr>
              <w:t>分，增加的按比例扣减）</w:t>
            </w:r>
          </w:p>
          <w:p>
            <w:pPr>
              <w:spacing w:line="240" w:lineRule="exact"/>
              <w:rPr>
                <w:szCs w:val="21"/>
              </w:rPr>
            </w:pPr>
            <w:r>
              <w:rPr>
                <w:rFonts w:hint="eastAsia"/>
                <w:szCs w:val="21"/>
              </w:rPr>
              <w:t>“三公经费”：年度预算安排的因公出国（境）费、公务车辆购置及运行费和公务招待费。</w:t>
            </w:r>
          </w:p>
        </w:tc>
        <w:tc>
          <w:tcPr>
            <w:tcW w:w="365" w:type="pct"/>
            <w:tcBorders>
              <w:top w:val="nil"/>
              <w:left w:val="nil"/>
              <w:bottom w:val="single" w:color="auto" w:sz="4" w:space="0"/>
              <w:right w:val="single" w:color="auto" w:sz="4" w:space="0"/>
            </w:tcBorders>
            <w:noWrap/>
            <w:vAlign w:val="center"/>
          </w:tcPr>
          <w:p>
            <w:pPr>
              <w:spacing w:line="240" w:lineRule="exact"/>
              <w:jc w:val="center"/>
              <w:rPr>
                <w:rFonts w:hint="eastAsia" w:eastAsia="宋体"/>
                <w:szCs w:val="21"/>
                <w:lang w:val="en-US" w:eastAsia="zh-CN"/>
              </w:rPr>
            </w:pPr>
            <w:r>
              <w:rPr>
                <w:rFonts w:hint="eastAsia"/>
                <w:szCs w:val="21"/>
                <w:lang w:val="en-US" w:eastAsia="zh-CN"/>
              </w:rPr>
              <w:t>5</w:t>
            </w:r>
          </w:p>
        </w:tc>
        <w:tc>
          <w:tcPr>
            <w:tcW w:w="472" w:type="pct"/>
            <w:tcBorders>
              <w:top w:val="nil"/>
              <w:left w:val="nil"/>
              <w:bottom w:val="single" w:color="auto" w:sz="4" w:space="0"/>
              <w:right w:val="single" w:color="auto" w:sz="12" w:space="0"/>
            </w:tcBorders>
            <w:noWrap/>
            <w:vAlign w:val="center"/>
          </w:tcPr>
          <w:p>
            <w:pPr>
              <w:spacing w:line="240" w:lineRule="exact"/>
              <w:jc w:val="center"/>
              <w:rPr>
                <w:szCs w:val="21"/>
              </w:rPr>
            </w:pPr>
            <w:r>
              <w:rPr>
                <w:rFonts w:hint="eastAsia"/>
                <w:szCs w:val="21"/>
                <w:lang w:eastAsia="zh-CN"/>
              </w:rPr>
              <w:t>符合要求</w:t>
            </w:r>
          </w:p>
        </w:tc>
      </w:tr>
      <w:tr>
        <w:tblPrEx>
          <w:tblCellMar>
            <w:top w:w="0" w:type="dxa"/>
            <w:left w:w="28" w:type="dxa"/>
            <w:bottom w:w="0" w:type="dxa"/>
            <w:right w:w="28" w:type="dxa"/>
          </w:tblCellMar>
        </w:tblPrEx>
        <w:trPr>
          <w:trHeight w:val="1534" w:hRule="atLeast"/>
          <w:jc w:val="center"/>
        </w:trPr>
        <w:tc>
          <w:tcPr>
            <w:tcW w:w="776" w:type="pct"/>
            <w:vMerge w:val="continue"/>
            <w:tcBorders>
              <w:top w:val="nil"/>
              <w:left w:val="single" w:color="auto" w:sz="12" w:space="0"/>
              <w:bottom w:val="single" w:color="000000" w:sz="4" w:space="0"/>
              <w:right w:val="single" w:color="auto" w:sz="4" w:space="0"/>
            </w:tcBorders>
            <w:noWrap w:val="0"/>
            <w:vAlign w:val="center"/>
          </w:tcPr>
          <w:p>
            <w:pPr>
              <w:spacing w:line="240" w:lineRule="exact"/>
              <w:jc w:val="center"/>
              <w:rPr>
                <w:szCs w:val="21"/>
              </w:rPr>
            </w:pPr>
          </w:p>
        </w:tc>
        <w:tc>
          <w:tcPr>
            <w:tcW w:w="264" w:type="pct"/>
            <w:vMerge w:val="continue"/>
            <w:tcBorders>
              <w:top w:val="nil"/>
              <w:left w:val="single" w:color="auto" w:sz="4" w:space="0"/>
              <w:bottom w:val="single" w:color="000000" w:sz="4" w:space="0"/>
              <w:right w:val="single" w:color="auto" w:sz="4" w:space="0"/>
            </w:tcBorders>
            <w:noWrap w:val="0"/>
            <w:vAlign w:val="center"/>
          </w:tcPr>
          <w:p>
            <w:pPr>
              <w:spacing w:line="240" w:lineRule="exact"/>
              <w:jc w:val="center"/>
              <w:rPr>
                <w:szCs w:val="21"/>
              </w:rPr>
            </w:pPr>
          </w:p>
        </w:tc>
        <w:tc>
          <w:tcPr>
            <w:tcW w:w="423" w:type="pct"/>
            <w:tcBorders>
              <w:top w:val="nil"/>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重点支出安排率（</w:t>
            </w:r>
            <w:r>
              <w:rPr>
                <w:szCs w:val="21"/>
              </w:rPr>
              <w:t>5</w:t>
            </w:r>
            <w:r>
              <w:rPr>
                <w:rFonts w:hint="eastAsia"/>
                <w:szCs w:val="21"/>
              </w:rPr>
              <w:t>分）</w:t>
            </w:r>
          </w:p>
        </w:tc>
        <w:tc>
          <w:tcPr>
            <w:tcW w:w="1166"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部门（单位）本年度预算安排的重点项目支出与部门项目总支出的比率，用以反映和考核部门（单位）对履行主要职责或完成重点任务的保障程度。</w:t>
            </w:r>
          </w:p>
        </w:tc>
        <w:tc>
          <w:tcPr>
            <w:tcW w:w="1530"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重点支出安排率</w:t>
            </w:r>
            <w:r>
              <w:rPr>
                <w:szCs w:val="21"/>
              </w:rPr>
              <w:t>=</w:t>
            </w:r>
            <w:r>
              <w:rPr>
                <w:rFonts w:hint="eastAsia"/>
                <w:szCs w:val="21"/>
              </w:rPr>
              <w:t>（重点项目支出</w:t>
            </w:r>
            <w:r>
              <w:rPr>
                <w:szCs w:val="21"/>
              </w:rPr>
              <w:t>/</w:t>
            </w:r>
            <w:r>
              <w:rPr>
                <w:rFonts w:hint="eastAsia"/>
                <w:szCs w:val="21"/>
              </w:rPr>
              <w:t>项目总支出）×</w:t>
            </w:r>
            <w:r>
              <w:rPr>
                <w:szCs w:val="21"/>
              </w:rPr>
              <w:t>100%</w:t>
            </w:r>
            <w:r>
              <w:rPr>
                <w:rFonts w:hint="eastAsia"/>
                <w:szCs w:val="21"/>
              </w:rPr>
              <w:t>。（实际得分</w:t>
            </w:r>
            <w:r>
              <w:rPr>
                <w:szCs w:val="21"/>
              </w:rPr>
              <w:t>=</w:t>
            </w:r>
            <w:r>
              <w:rPr>
                <w:rFonts w:hint="eastAsia"/>
                <w:szCs w:val="21"/>
              </w:rPr>
              <w:t>支出安排率</w:t>
            </w:r>
            <w:r>
              <w:rPr>
                <w:szCs w:val="21"/>
              </w:rPr>
              <w:t>*5</w:t>
            </w:r>
            <w:r>
              <w:rPr>
                <w:rFonts w:hint="eastAsia"/>
                <w:szCs w:val="21"/>
              </w:rPr>
              <w:t>分）</w:t>
            </w:r>
          </w:p>
          <w:p>
            <w:pPr>
              <w:spacing w:line="240" w:lineRule="exact"/>
              <w:rPr>
                <w:szCs w:val="21"/>
              </w:rPr>
            </w:pPr>
            <w:r>
              <w:rPr>
                <w:rFonts w:hint="eastAsia"/>
                <w:szCs w:val="21"/>
              </w:rPr>
              <w:t>重点项目支出：部门（单位）年度预算安排的，与本部门履职和发展密切相关、具有明显社会和经济影响、党委政府关心或社会比较关注的项目支出总额。</w:t>
            </w:r>
          </w:p>
          <w:p>
            <w:pPr>
              <w:spacing w:line="240" w:lineRule="exact"/>
              <w:rPr>
                <w:szCs w:val="21"/>
              </w:rPr>
            </w:pPr>
            <w:r>
              <w:rPr>
                <w:rFonts w:hint="eastAsia"/>
                <w:szCs w:val="21"/>
              </w:rPr>
              <w:t>项目总支出：部门（单位）年度预算安排的项目支出总额。</w:t>
            </w:r>
          </w:p>
        </w:tc>
        <w:tc>
          <w:tcPr>
            <w:tcW w:w="365" w:type="pct"/>
            <w:tcBorders>
              <w:top w:val="nil"/>
              <w:left w:val="nil"/>
              <w:bottom w:val="single" w:color="auto" w:sz="4" w:space="0"/>
              <w:right w:val="single" w:color="auto" w:sz="4" w:space="0"/>
            </w:tcBorders>
            <w:noWrap/>
            <w:vAlign w:val="center"/>
          </w:tcPr>
          <w:p>
            <w:pPr>
              <w:spacing w:line="240" w:lineRule="exact"/>
              <w:jc w:val="center"/>
              <w:rPr>
                <w:rFonts w:hint="eastAsia" w:eastAsia="宋体"/>
                <w:szCs w:val="21"/>
                <w:lang w:val="en-US" w:eastAsia="zh-CN"/>
              </w:rPr>
            </w:pPr>
            <w:r>
              <w:rPr>
                <w:rFonts w:hint="eastAsia"/>
                <w:szCs w:val="21"/>
                <w:lang w:val="en-US" w:eastAsia="zh-CN"/>
              </w:rPr>
              <w:t>5</w:t>
            </w:r>
          </w:p>
        </w:tc>
        <w:tc>
          <w:tcPr>
            <w:tcW w:w="472" w:type="pct"/>
            <w:tcBorders>
              <w:top w:val="nil"/>
              <w:left w:val="nil"/>
              <w:bottom w:val="single" w:color="auto" w:sz="4" w:space="0"/>
              <w:right w:val="single" w:color="auto" w:sz="12" w:space="0"/>
            </w:tcBorders>
            <w:noWrap/>
            <w:vAlign w:val="center"/>
          </w:tcPr>
          <w:p>
            <w:pPr>
              <w:spacing w:line="240" w:lineRule="exact"/>
              <w:jc w:val="center"/>
              <w:rPr>
                <w:szCs w:val="21"/>
              </w:rPr>
            </w:pPr>
            <w:r>
              <w:rPr>
                <w:rFonts w:hint="eastAsia"/>
                <w:szCs w:val="21"/>
                <w:lang w:eastAsia="zh-CN"/>
              </w:rPr>
              <w:t>符合要求</w:t>
            </w:r>
          </w:p>
        </w:tc>
      </w:tr>
      <w:tr>
        <w:tblPrEx>
          <w:tblCellMar>
            <w:top w:w="0" w:type="dxa"/>
            <w:left w:w="28" w:type="dxa"/>
            <w:bottom w:w="0" w:type="dxa"/>
            <w:right w:w="28" w:type="dxa"/>
          </w:tblCellMar>
        </w:tblPrEx>
        <w:trPr>
          <w:trHeight w:val="1330" w:hRule="atLeast"/>
          <w:jc w:val="center"/>
        </w:trPr>
        <w:tc>
          <w:tcPr>
            <w:tcW w:w="776" w:type="pct"/>
            <w:vMerge w:val="restart"/>
            <w:tcBorders>
              <w:top w:val="nil"/>
              <w:left w:val="single" w:color="auto" w:sz="12" w:space="0"/>
              <w:right w:val="single" w:color="auto" w:sz="4" w:space="0"/>
            </w:tcBorders>
            <w:noWrap/>
            <w:vAlign w:val="center"/>
          </w:tcPr>
          <w:p>
            <w:pPr>
              <w:spacing w:line="260" w:lineRule="exact"/>
              <w:jc w:val="center"/>
              <w:rPr>
                <w:szCs w:val="21"/>
              </w:rPr>
            </w:pPr>
            <w:r>
              <w:rPr>
                <w:rFonts w:hint="eastAsia"/>
                <w:szCs w:val="21"/>
              </w:rPr>
              <w:t>过程（</w:t>
            </w:r>
            <w:r>
              <w:rPr>
                <w:szCs w:val="21"/>
              </w:rPr>
              <w:t>30</w:t>
            </w:r>
            <w:r>
              <w:rPr>
                <w:rFonts w:hint="eastAsia"/>
                <w:szCs w:val="21"/>
              </w:rPr>
              <w:t>分）</w:t>
            </w:r>
          </w:p>
        </w:tc>
        <w:tc>
          <w:tcPr>
            <w:tcW w:w="264" w:type="pct"/>
            <w:vMerge w:val="restart"/>
            <w:tcBorders>
              <w:top w:val="nil"/>
              <w:left w:val="single" w:color="auto" w:sz="4" w:space="0"/>
              <w:right w:val="single" w:color="auto" w:sz="4" w:space="0"/>
            </w:tcBorders>
            <w:noWrap w:val="0"/>
            <w:vAlign w:val="center"/>
          </w:tcPr>
          <w:p>
            <w:pPr>
              <w:spacing w:line="260" w:lineRule="exact"/>
              <w:jc w:val="center"/>
              <w:rPr>
                <w:szCs w:val="21"/>
              </w:rPr>
            </w:pPr>
            <w:r>
              <w:rPr>
                <w:rFonts w:hint="eastAsia"/>
                <w:szCs w:val="21"/>
              </w:rPr>
              <w:t>预算执行（</w:t>
            </w:r>
            <w:r>
              <w:rPr>
                <w:szCs w:val="21"/>
              </w:rPr>
              <w:t>20</w:t>
            </w:r>
            <w:r>
              <w:rPr>
                <w:rFonts w:hint="eastAsia"/>
                <w:szCs w:val="21"/>
              </w:rPr>
              <w:t>分）</w:t>
            </w:r>
          </w:p>
        </w:tc>
        <w:tc>
          <w:tcPr>
            <w:tcW w:w="423" w:type="pct"/>
            <w:tcBorders>
              <w:top w:val="nil"/>
              <w:left w:val="nil"/>
              <w:bottom w:val="single" w:color="auto" w:sz="4" w:space="0"/>
              <w:right w:val="single" w:color="auto" w:sz="4" w:space="0"/>
            </w:tcBorders>
            <w:noWrap w:val="0"/>
            <w:vAlign w:val="center"/>
          </w:tcPr>
          <w:p>
            <w:pPr>
              <w:spacing w:line="260" w:lineRule="exact"/>
              <w:jc w:val="center"/>
              <w:rPr>
                <w:szCs w:val="21"/>
              </w:rPr>
            </w:pPr>
            <w:r>
              <w:rPr>
                <w:rFonts w:hint="eastAsia"/>
                <w:szCs w:val="21"/>
              </w:rPr>
              <w:t>预算完成率（</w:t>
            </w:r>
            <w:r>
              <w:rPr>
                <w:szCs w:val="21"/>
              </w:rPr>
              <w:t>4</w:t>
            </w:r>
            <w:r>
              <w:rPr>
                <w:rFonts w:hint="eastAsia"/>
                <w:szCs w:val="21"/>
              </w:rPr>
              <w:t>分）</w:t>
            </w:r>
          </w:p>
        </w:tc>
        <w:tc>
          <w:tcPr>
            <w:tcW w:w="1166" w:type="pct"/>
            <w:tcBorders>
              <w:top w:val="nil"/>
              <w:left w:val="nil"/>
              <w:bottom w:val="single" w:color="auto" w:sz="4" w:space="0"/>
              <w:right w:val="single" w:color="auto" w:sz="4" w:space="0"/>
            </w:tcBorders>
            <w:noWrap w:val="0"/>
            <w:vAlign w:val="center"/>
          </w:tcPr>
          <w:p>
            <w:pPr>
              <w:spacing w:line="260" w:lineRule="exact"/>
              <w:rPr>
                <w:szCs w:val="21"/>
              </w:rPr>
            </w:pPr>
            <w:r>
              <w:rPr>
                <w:rFonts w:hint="eastAsia"/>
                <w:szCs w:val="21"/>
              </w:rPr>
              <w:t>部门（单位）本年度预算完成数与预算数的比率，用以反映和考核部门（单位）预算完成程度。</w:t>
            </w:r>
          </w:p>
        </w:tc>
        <w:tc>
          <w:tcPr>
            <w:tcW w:w="1530" w:type="pct"/>
            <w:tcBorders>
              <w:top w:val="nil"/>
              <w:left w:val="nil"/>
              <w:bottom w:val="single" w:color="auto" w:sz="4" w:space="0"/>
              <w:right w:val="single" w:color="auto" w:sz="4" w:space="0"/>
            </w:tcBorders>
            <w:noWrap w:val="0"/>
            <w:vAlign w:val="center"/>
          </w:tcPr>
          <w:p>
            <w:pPr>
              <w:spacing w:line="260" w:lineRule="exact"/>
              <w:rPr>
                <w:szCs w:val="21"/>
              </w:rPr>
            </w:pPr>
            <w:r>
              <w:rPr>
                <w:rFonts w:hint="eastAsia"/>
                <w:szCs w:val="21"/>
              </w:rPr>
              <w:t>预算完成率</w:t>
            </w:r>
            <w:r>
              <w:rPr>
                <w:szCs w:val="21"/>
              </w:rPr>
              <w:t>=</w:t>
            </w:r>
            <w:r>
              <w:rPr>
                <w:rFonts w:hint="eastAsia"/>
                <w:szCs w:val="21"/>
              </w:rPr>
              <w:t>（预算完成数</w:t>
            </w:r>
            <w:r>
              <w:rPr>
                <w:szCs w:val="21"/>
              </w:rPr>
              <w:t>/</w:t>
            </w:r>
            <w:r>
              <w:rPr>
                <w:rFonts w:hint="eastAsia"/>
                <w:szCs w:val="21"/>
              </w:rPr>
              <w:t>预算数）×</w:t>
            </w:r>
            <w:r>
              <w:rPr>
                <w:szCs w:val="21"/>
              </w:rPr>
              <w:t>100%</w:t>
            </w:r>
            <w:r>
              <w:rPr>
                <w:rFonts w:hint="eastAsia"/>
                <w:szCs w:val="21"/>
              </w:rPr>
              <w:t>。（完成年初预算计</w:t>
            </w:r>
            <w:r>
              <w:rPr>
                <w:szCs w:val="21"/>
              </w:rPr>
              <w:t>4</w:t>
            </w:r>
            <w:r>
              <w:rPr>
                <w:rFonts w:hint="eastAsia"/>
                <w:szCs w:val="21"/>
              </w:rPr>
              <w:t>分，未完成年初按比例扣减）</w:t>
            </w:r>
          </w:p>
          <w:p>
            <w:pPr>
              <w:spacing w:line="260" w:lineRule="exact"/>
              <w:rPr>
                <w:szCs w:val="21"/>
              </w:rPr>
            </w:pPr>
            <w:r>
              <w:rPr>
                <w:rFonts w:hint="eastAsia"/>
                <w:szCs w:val="21"/>
              </w:rPr>
              <w:t>预算完成数：部门（单位）本年度实际完成的预算数。</w:t>
            </w:r>
          </w:p>
          <w:p>
            <w:pPr>
              <w:spacing w:line="260" w:lineRule="exact"/>
              <w:rPr>
                <w:szCs w:val="21"/>
              </w:rPr>
            </w:pPr>
            <w:r>
              <w:rPr>
                <w:rFonts w:hint="eastAsia"/>
                <w:szCs w:val="21"/>
              </w:rPr>
              <w:t>预算数：财政部门批复的本年度部门（单位）预算数。</w:t>
            </w:r>
          </w:p>
        </w:tc>
        <w:tc>
          <w:tcPr>
            <w:tcW w:w="365" w:type="pct"/>
            <w:tcBorders>
              <w:top w:val="nil"/>
              <w:left w:val="nil"/>
              <w:bottom w:val="single" w:color="auto" w:sz="4" w:space="0"/>
              <w:right w:val="single" w:color="auto" w:sz="4" w:space="0"/>
            </w:tcBorders>
            <w:noWrap/>
            <w:vAlign w:val="center"/>
          </w:tcPr>
          <w:p>
            <w:pPr>
              <w:spacing w:line="260" w:lineRule="exact"/>
              <w:jc w:val="center"/>
              <w:rPr>
                <w:rFonts w:hint="eastAsia" w:eastAsia="宋体"/>
                <w:szCs w:val="21"/>
                <w:lang w:val="en-US" w:eastAsia="zh-CN"/>
              </w:rPr>
            </w:pPr>
            <w:r>
              <w:rPr>
                <w:rFonts w:hint="eastAsia"/>
                <w:szCs w:val="21"/>
                <w:lang w:val="en-US" w:eastAsia="zh-CN"/>
              </w:rPr>
              <w:t>4</w:t>
            </w:r>
          </w:p>
        </w:tc>
        <w:tc>
          <w:tcPr>
            <w:tcW w:w="472" w:type="pct"/>
            <w:tcBorders>
              <w:top w:val="nil"/>
              <w:left w:val="nil"/>
              <w:bottom w:val="single" w:color="auto" w:sz="4" w:space="0"/>
              <w:right w:val="single" w:color="auto" w:sz="12" w:space="0"/>
            </w:tcBorders>
            <w:noWrap/>
            <w:vAlign w:val="center"/>
          </w:tcPr>
          <w:p>
            <w:pPr>
              <w:spacing w:line="260" w:lineRule="exact"/>
              <w:jc w:val="center"/>
              <w:rPr>
                <w:szCs w:val="21"/>
              </w:rPr>
            </w:pPr>
            <w:r>
              <w:rPr>
                <w:rFonts w:hint="eastAsia"/>
                <w:szCs w:val="21"/>
                <w:lang w:eastAsia="zh-CN"/>
              </w:rPr>
              <w:t>符合要求</w:t>
            </w:r>
          </w:p>
        </w:tc>
      </w:tr>
      <w:tr>
        <w:tblPrEx>
          <w:tblCellMar>
            <w:top w:w="0" w:type="dxa"/>
            <w:left w:w="28" w:type="dxa"/>
            <w:bottom w:w="0" w:type="dxa"/>
            <w:right w:w="28" w:type="dxa"/>
          </w:tblCellMar>
        </w:tblPrEx>
        <w:trPr>
          <w:trHeight w:val="1459" w:hRule="atLeast"/>
          <w:jc w:val="center"/>
        </w:trPr>
        <w:tc>
          <w:tcPr>
            <w:tcW w:w="776" w:type="pct"/>
            <w:vMerge w:val="continue"/>
            <w:tcBorders>
              <w:left w:val="single" w:color="auto" w:sz="12" w:space="0"/>
              <w:right w:val="single" w:color="auto" w:sz="4" w:space="0"/>
            </w:tcBorders>
            <w:noWrap w:val="0"/>
            <w:vAlign w:val="center"/>
          </w:tcPr>
          <w:p>
            <w:pPr>
              <w:spacing w:line="260" w:lineRule="exact"/>
              <w:jc w:val="center"/>
              <w:rPr>
                <w:szCs w:val="21"/>
              </w:rPr>
            </w:pPr>
          </w:p>
        </w:tc>
        <w:tc>
          <w:tcPr>
            <w:tcW w:w="264" w:type="pct"/>
            <w:vMerge w:val="continue"/>
            <w:tcBorders>
              <w:left w:val="single" w:color="auto" w:sz="4" w:space="0"/>
              <w:right w:val="single" w:color="auto" w:sz="4" w:space="0"/>
            </w:tcBorders>
            <w:noWrap w:val="0"/>
            <w:vAlign w:val="center"/>
          </w:tcPr>
          <w:p>
            <w:pPr>
              <w:spacing w:line="260" w:lineRule="exact"/>
              <w:jc w:val="center"/>
              <w:rPr>
                <w:szCs w:val="21"/>
              </w:rPr>
            </w:pPr>
          </w:p>
        </w:tc>
        <w:tc>
          <w:tcPr>
            <w:tcW w:w="423" w:type="pct"/>
            <w:tcBorders>
              <w:top w:val="nil"/>
              <w:left w:val="nil"/>
              <w:bottom w:val="single" w:color="auto" w:sz="4" w:space="0"/>
              <w:right w:val="single" w:color="auto" w:sz="4" w:space="0"/>
            </w:tcBorders>
            <w:noWrap w:val="0"/>
            <w:vAlign w:val="center"/>
          </w:tcPr>
          <w:p>
            <w:pPr>
              <w:spacing w:line="260" w:lineRule="exact"/>
              <w:jc w:val="center"/>
              <w:rPr>
                <w:szCs w:val="21"/>
              </w:rPr>
            </w:pPr>
            <w:r>
              <w:rPr>
                <w:rFonts w:hint="eastAsia"/>
                <w:szCs w:val="21"/>
              </w:rPr>
              <w:t>预算调整率（</w:t>
            </w:r>
            <w:r>
              <w:rPr>
                <w:szCs w:val="21"/>
              </w:rPr>
              <w:t>2</w:t>
            </w:r>
            <w:r>
              <w:rPr>
                <w:rFonts w:hint="eastAsia"/>
                <w:szCs w:val="21"/>
              </w:rPr>
              <w:t>分）</w:t>
            </w:r>
          </w:p>
        </w:tc>
        <w:tc>
          <w:tcPr>
            <w:tcW w:w="1166" w:type="pct"/>
            <w:tcBorders>
              <w:top w:val="nil"/>
              <w:left w:val="nil"/>
              <w:bottom w:val="single" w:color="auto" w:sz="4" w:space="0"/>
              <w:right w:val="single" w:color="auto" w:sz="4" w:space="0"/>
            </w:tcBorders>
            <w:noWrap w:val="0"/>
            <w:vAlign w:val="center"/>
          </w:tcPr>
          <w:p>
            <w:pPr>
              <w:spacing w:line="260" w:lineRule="exact"/>
              <w:rPr>
                <w:szCs w:val="21"/>
              </w:rPr>
            </w:pPr>
            <w:r>
              <w:rPr>
                <w:rFonts w:hint="eastAsia"/>
                <w:szCs w:val="21"/>
              </w:rPr>
              <w:t>部门（单位）本年度预算调整数与预算数的比率，用以反映和考核部门（单位）预算的调整程度。</w:t>
            </w:r>
          </w:p>
        </w:tc>
        <w:tc>
          <w:tcPr>
            <w:tcW w:w="1530" w:type="pct"/>
            <w:tcBorders>
              <w:top w:val="nil"/>
              <w:left w:val="nil"/>
              <w:bottom w:val="single" w:color="auto" w:sz="4" w:space="0"/>
              <w:right w:val="single" w:color="auto" w:sz="4" w:space="0"/>
            </w:tcBorders>
            <w:noWrap w:val="0"/>
            <w:vAlign w:val="center"/>
          </w:tcPr>
          <w:p>
            <w:pPr>
              <w:spacing w:line="260" w:lineRule="exact"/>
              <w:rPr>
                <w:szCs w:val="21"/>
              </w:rPr>
            </w:pPr>
            <w:r>
              <w:rPr>
                <w:rFonts w:hint="eastAsia"/>
                <w:szCs w:val="21"/>
              </w:rPr>
              <w:t>预算调整率</w:t>
            </w:r>
            <w:r>
              <w:rPr>
                <w:szCs w:val="21"/>
              </w:rPr>
              <w:t>=</w:t>
            </w:r>
            <w:r>
              <w:rPr>
                <w:rFonts w:hint="eastAsia"/>
                <w:szCs w:val="21"/>
              </w:rPr>
              <w:t>（预算调整数</w:t>
            </w:r>
            <w:r>
              <w:rPr>
                <w:szCs w:val="21"/>
              </w:rPr>
              <w:t>/</w:t>
            </w:r>
            <w:r>
              <w:rPr>
                <w:rFonts w:hint="eastAsia"/>
                <w:szCs w:val="21"/>
              </w:rPr>
              <w:t>预算数）×</w:t>
            </w:r>
            <w:r>
              <w:rPr>
                <w:szCs w:val="21"/>
              </w:rPr>
              <w:t>100%</w:t>
            </w:r>
            <w:r>
              <w:rPr>
                <w:rFonts w:hint="eastAsia"/>
                <w:szCs w:val="21"/>
              </w:rPr>
              <w:t>。（未调整的计</w:t>
            </w:r>
            <w:r>
              <w:rPr>
                <w:szCs w:val="21"/>
              </w:rPr>
              <w:t>2</w:t>
            </w:r>
            <w:r>
              <w:rPr>
                <w:rFonts w:hint="eastAsia"/>
                <w:szCs w:val="21"/>
              </w:rPr>
              <w:t>分，调整了的除特殊原因外按比例扣减）</w:t>
            </w:r>
          </w:p>
          <w:p>
            <w:pPr>
              <w:spacing w:line="260" w:lineRule="exact"/>
              <w:rPr>
                <w:szCs w:val="21"/>
              </w:rPr>
            </w:pPr>
            <w:r>
              <w:rPr>
                <w:rFonts w:hint="eastAsia"/>
                <w:szCs w:val="21"/>
              </w:rPr>
              <w:t>预算调整数：部门（单位）在本年度内涉及预算的追加、追减或结构调整的资金总和（因落实国家政策、发生不可抗力、上级部门或本级党委政府临时交办而产生的调整除外）。</w:t>
            </w:r>
          </w:p>
        </w:tc>
        <w:tc>
          <w:tcPr>
            <w:tcW w:w="365" w:type="pct"/>
            <w:tcBorders>
              <w:top w:val="nil"/>
              <w:left w:val="nil"/>
              <w:bottom w:val="single" w:color="auto" w:sz="4" w:space="0"/>
              <w:right w:val="single" w:color="auto" w:sz="4" w:space="0"/>
            </w:tcBorders>
            <w:noWrap/>
            <w:vAlign w:val="center"/>
          </w:tcPr>
          <w:p>
            <w:pPr>
              <w:spacing w:line="260" w:lineRule="exact"/>
              <w:jc w:val="center"/>
              <w:rPr>
                <w:rFonts w:hint="eastAsia" w:eastAsia="宋体"/>
                <w:szCs w:val="21"/>
                <w:lang w:val="en-US" w:eastAsia="zh-CN"/>
              </w:rPr>
            </w:pPr>
            <w:r>
              <w:rPr>
                <w:rFonts w:hint="eastAsia"/>
                <w:szCs w:val="21"/>
                <w:lang w:val="en-US" w:eastAsia="zh-CN"/>
              </w:rPr>
              <w:t>2</w:t>
            </w:r>
          </w:p>
        </w:tc>
        <w:tc>
          <w:tcPr>
            <w:tcW w:w="472" w:type="pct"/>
            <w:tcBorders>
              <w:top w:val="nil"/>
              <w:left w:val="nil"/>
              <w:bottom w:val="single" w:color="auto" w:sz="4" w:space="0"/>
              <w:right w:val="single" w:color="auto" w:sz="12" w:space="0"/>
            </w:tcBorders>
            <w:noWrap/>
            <w:vAlign w:val="center"/>
          </w:tcPr>
          <w:p>
            <w:pPr>
              <w:spacing w:line="260" w:lineRule="exact"/>
              <w:jc w:val="center"/>
              <w:rPr>
                <w:szCs w:val="21"/>
              </w:rPr>
            </w:pPr>
            <w:r>
              <w:rPr>
                <w:rFonts w:hint="eastAsia"/>
                <w:szCs w:val="21"/>
                <w:lang w:eastAsia="zh-CN"/>
              </w:rPr>
              <w:t>符合要求</w:t>
            </w:r>
          </w:p>
        </w:tc>
      </w:tr>
      <w:tr>
        <w:tblPrEx>
          <w:tblCellMar>
            <w:top w:w="0" w:type="dxa"/>
            <w:left w:w="28" w:type="dxa"/>
            <w:bottom w:w="0" w:type="dxa"/>
            <w:right w:w="28" w:type="dxa"/>
          </w:tblCellMar>
        </w:tblPrEx>
        <w:trPr>
          <w:trHeight w:val="1800" w:hRule="atLeast"/>
          <w:jc w:val="center"/>
        </w:trPr>
        <w:tc>
          <w:tcPr>
            <w:tcW w:w="776" w:type="pct"/>
            <w:vMerge w:val="continue"/>
            <w:tcBorders>
              <w:left w:val="single" w:color="auto" w:sz="12" w:space="0"/>
              <w:right w:val="single" w:color="auto" w:sz="4" w:space="0"/>
            </w:tcBorders>
            <w:noWrap w:val="0"/>
            <w:vAlign w:val="center"/>
          </w:tcPr>
          <w:p>
            <w:pPr>
              <w:spacing w:line="260" w:lineRule="exact"/>
              <w:jc w:val="center"/>
              <w:rPr>
                <w:szCs w:val="21"/>
              </w:rPr>
            </w:pPr>
          </w:p>
        </w:tc>
        <w:tc>
          <w:tcPr>
            <w:tcW w:w="264" w:type="pct"/>
            <w:vMerge w:val="continue"/>
            <w:tcBorders>
              <w:left w:val="single" w:color="auto" w:sz="4" w:space="0"/>
              <w:right w:val="single" w:color="auto" w:sz="4" w:space="0"/>
            </w:tcBorders>
            <w:noWrap w:val="0"/>
            <w:vAlign w:val="center"/>
          </w:tcPr>
          <w:p>
            <w:pPr>
              <w:spacing w:line="260" w:lineRule="exact"/>
              <w:jc w:val="center"/>
              <w:rPr>
                <w:szCs w:val="21"/>
              </w:rPr>
            </w:pPr>
          </w:p>
        </w:tc>
        <w:tc>
          <w:tcPr>
            <w:tcW w:w="423" w:type="pct"/>
            <w:tcBorders>
              <w:top w:val="nil"/>
              <w:left w:val="nil"/>
              <w:bottom w:val="single" w:color="auto" w:sz="4" w:space="0"/>
              <w:right w:val="single" w:color="auto" w:sz="4" w:space="0"/>
            </w:tcBorders>
            <w:noWrap w:val="0"/>
            <w:vAlign w:val="center"/>
          </w:tcPr>
          <w:p>
            <w:pPr>
              <w:spacing w:line="260" w:lineRule="exact"/>
              <w:jc w:val="center"/>
              <w:rPr>
                <w:szCs w:val="21"/>
              </w:rPr>
            </w:pPr>
            <w:r>
              <w:rPr>
                <w:rFonts w:hint="eastAsia"/>
                <w:szCs w:val="21"/>
              </w:rPr>
              <w:t>支付进度率（</w:t>
            </w:r>
            <w:r>
              <w:rPr>
                <w:szCs w:val="21"/>
              </w:rPr>
              <w:t>2</w:t>
            </w:r>
            <w:r>
              <w:rPr>
                <w:rFonts w:hint="eastAsia"/>
                <w:szCs w:val="21"/>
              </w:rPr>
              <w:t>分）</w:t>
            </w:r>
          </w:p>
        </w:tc>
        <w:tc>
          <w:tcPr>
            <w:tcW w:w="1166" w:type="pct"/>
            <w:tcBorders>
              <w:top w:val="nil"/>
              <w:left w:val="nil"/>
              <w:bottom w:val="single" w:color="auto" w:sz="4" w:space="0"/>
              <w:right w:val="single" w:color="auto" w:sz="4" w:space="0"/>
            </w:tcBorders>
            <w:noWrap w:val="0"/>
            <w:vAlign w:val="center"/>
          </w:tcPr>
          <w:p>
            <w:pPr>
              <w:spacing w:line="260" w:lineRule="exact"/>
              <w:rPr>
                <w:szCs w:val="21"/>
              </w:rPr>
            </w:pPr>
            <w:r>
              <w:rPr>
                <w:rFonts w:hint="eastAsia"/>
                <w:szCs w:val="21"/>
              </w:rPr>
              <w:t>部门（单位）实际支付进度与既定支付进度的比率，用以反映和考核部门（单位）预算执行的及时性和均衡性程度。</w:t>
            </w:r>
          </w:p>
        </w:tc>
        <w:tc>
          <w:tcPr>
            <w:tcW w:w="1530" w:type="pct"/>
            <w:tcBorders>
              <w:top w:val="nil"/>
              <w:left w:val="nil"/>
              <w:bottom w:val="single" w:color="auto" w:sz="4" w:space="0"/>
              <w:right w:val="single" w:color="auto" w:sz="4" w:space="0"/>
            </w:tcBorders>
            <w:noWrap w:val="0"/>
            <w:vAlign w:val="center"/>
          </w:tcPr>
          <w:p>
            <w:pPr>
              <w:spacing w:line="260" w:lineRule="exact"/>
              <w:rPr>
                <w:szCs w:val="21"/>
              </w:rPr>
            </w:pPr>
            <w:r>
              <w:rPr>
                <w:rFonts w:hint="eastAsia"/>
                <w:szCs w:val="21"/>
              </w:rPr>
              <w:t>支付进度率</w:t>
            </w:r>
            <w:r>
              <w:rPr>
                <w:szCs w:val="21"/>
              </w:rPr>
              <w:t>=</w:t>
            </w:r>
            <w:r>
              <w:rPr>
                <w:rFonts w:hint="eastAsia"/>
                <w:szCs w:val="21"/>
              </w:rPr>
              <w:t>（实际支付进度</w:t>
            </w:r>
            <w:r>
              <w:rPr>
                <w:szCs w:val="21"/>
              </w:rPr>
              <w:t>/</w:t>
            </w:r>
            <w:r>
              <w:rPr>
                <w:rFonts w:hint="eastAsia"/>
                <w:szCs w:val="21"/>
              </w:rPr>
              <w:t>既定支付进度）×</w:t>
            </w:r>
            <w:r>
              <w:rPr>
                <w:szCs w:val="21"/>
              </w:rPr>
              <w:t>100%</w:t>
            </w:r>
            <w:r>
              <w:rPr>
                <w:rFonts w:hint="eastAsia"/>
                <w:szCs w:val="21"/>
              </w:rPr>
              <w:t>。完成年终进度的计</w:t>
            </w:r>
            <w:r>
              <w:rPr>
                <w:szCs w:val="21"/>
              </w:rPr>
              <w:t>1</w:t>
            </w:r>
            <w:r>
              <w:rPr>
                <w:rFonts w:hint="eastAsia"/>
                <w:szCs w:val="21"/>
              </w:rPr>
              <w:t>分，按季度完成预算进度的计</w:t>
            </w:r>
            <w:r>
              <w:rPr>
                <w:szCs w:val="21"/>
              </w:rPr>
              <w:t>1</w:t>
            </w:r>
            <w:r>
              <w:rPr>
                <w:rFonts w:hint="eastAsia"/>
                <w:szCs w:val="21"/>
              </w:rPr>
              <w:t>分。</w:t>
            </w:r>
          </w:p>
          <w:p>
            <w:pPr>
              <w:spacing w:line="260" w:lineRule="exact"/>
              <w:rPr>
                <w:szCs w:val="21"/>
              </w:rPr>
            </w:pPr>
            <w:r>
              <w:rPr>
                <w:rFonts w:hint="eastAsia"/>
                <w:szCs w:val="21"/>
              </w:rPr>
              <w:t>实际支付进度：部门（单位）在某一时点的支出预算执行总数与年度支出预算数的比率。</w:t>
            </w:r>
          </w:p>
          <w:p>
            <w:pPr>
              <w:spacing w:line="260" w:lineRule="exact"/>
              <w:rPr>
                <w:szCs w:val="21"/>
              </w:rPr>
            </w:pPr>
            <w:r>
              <w:rPr>
                <w:rFonts w:hint="eastAsia"/>
                <w:szCs w:val="21"/>
              </w:rPr>
              <w:t>既定支付进度：由部门（单位）在申报部门整体绩效目标时，参照序时支付进度、前三年支付进度、同级部门平均支付进度水平等确定的，在某一时点应达到的支付进度（比率）。</w:t>
            </w:r>
          </w:p>
        </w:tc>
        <w:tc>
          <w:tcPr>
            <w:tcW w:w="365" w:type="pct"/>
            <w:tcBorders>
              <w:top w:val="nil"/>
              <w:left w:val="nil"/>
              <w:bottom w:val="single" w:color="auto" w:sz="4" w:space="0"/>
              <w:right w:val="single" w:color="auto" w:sz="4" w:space="0"/>
            </w:tcBorders>
            <w:noWrap/>
            <w:vAlign w:val="center"/>
          </w:tcPr>
          <w:p>
            <w:pPr>
              <w:spacing w:line="260" w:lineRule="exact"/>
              <w:jc w:val="center"/>
              <w:rPr>
                <w:rFonts w:hint="eastAsia" w:eastAsia="宋体"/>
                <w:szCs w:val="21"/>
                <w:lang w:val="en-US" w:eastAsia="zh-CN"/>
              </w:rPr>
            </w:pPr>
            <w:r>
              <w:rPr>
                <w:rFonts w:hint="eastAsia"/>
                <w:szCs w:val="21"/>
                <w:lang w:val="en-US" w:eastAsia="zh-CN"/>
              </w:rPr>
              <w:t>2</w:t>
            </w:r>
          </w:p>
        </w:tc>
        <w:tc>
          <w:tcPr>
            <w:tcW w:w="472" w:type="pct"/>
            <w:tcBorders>
              <w:top w:val="nil"/>
              <w:left w:val="nil"/>
              <w:bottom w:val="single" w:color="auto" w:sz="4" w:space="0"/>
              <w:right w:val="single" w:color="auto" w:sz="12" w:space="0"/>
            </w:tcBorders>
            <w:noWrap/>
            <w:vAlign w:val="center"/>
          </w:tcPr>
          <w:p>
            <w:pPr>
              <w:spacing w:line="260" w:lineRule="exact"/>
              <w:jc w:val="center"/>
              <w:rPr>
                <w:szCs w:val="21"/>
              </w:rPr>
            </w:pPr>
            <w:r>
              <w:rPr>
                <w:rFonts w:hint="eastAsia"/>
                <w:szCs w:val="21"/>
                <w:lang w:eastAsia="zh-CN"/>
              </w:rPr>
              <w:t>符合要求</w:t>
            </w:r>
          </w:p>
        </w:tc>
      </w:tr>
      <w:tr>
        <w:tblPrEx>
          <w:tblCellMar>
            <w:top w:w="0" w:type="dxa"/>
            <w:left w:w="28" w:type="dxa"/>
            <w:bottom w:w="0" w:type="dxa"/>
            <w:right w:w="28" w:type="dxa"/>
          </w:tblCellMar>
        </w:tblPrEx>
        <w:trPr>
          <w:trHeight w:val="1035" w:hRule="atLeast"/>
          <w:jc w:val="center"/>
        </w:trPr>
        <w:tc>
          <w:tcPr>
            <w:tcW w:w="776" w:type="pct"/>
            <w:vMerge w:val="continue"/>
            <w:tcBorders>
              <w:left w:val="single" w:color="auto" w:sz="12" w:space="0"/>
              <w:right w:val="single" w:color="auto" w:sz="4" w:space="0"/>
            </w:tcBorders>
            <w:noWrap w:val="0"/>
            <w:vAlign w:val="center"/>
          </w:tcPr>
          <w:p>
            <w:pPr>
              <w:spacing w:line="260" w:lineRule="exact"/>
              <w:jc w:val="center"/>
              <w:rPr>
                <w:szCs w:val="21"/>
              </w:rPr>
            </w:pPr>
          </w:p>
        </w:tc>
        <w:tc>
          <w:tcPr>
            <w:tcW w:w="264" w:type="pct"/>
            <w:vMerge w:val="continue"/>
            <w:tcBorders>
              <w:left w:val="single" w:color="auto" w:sz="4" w:space="0"/>
              <w:right w:val="single" w:color="auto" w:sz="4" w:space="0"/>
            </w:tcBorders>
            <w:noWrap w:val="0"/>
            <w:vAlign w:val="center"/>
          </w:tcPr>
          <w:p>
            <w:pPr>
              <w:spacing w:line="260" w:lineRule="exact"/>
              <w:jc w:val="center"/>
              <w:rPr>
                <w:szCs w:val="21"/>
              </w:rPr>
            </w:pPr>
          </w:p>
        </w:tc>
        <w:tc>
          <w:tcPr>
            <w:tcW w:w="423" w:type="pct"/>
            <w:tcBorders>
              <w:top w:val="nil"/>
              <w:left w:val="nil"/>
              <w:bottom w:val="single" w:color="auto" w:sz="4" w:space="0"/>
              <w:right w:val="single" w:color="auto" w:sz="4" w:space="0"/>
            </w:tcBorders>
            <w:noWrap w:val="0"/>
            <w:vAlign w:val="center"/>
          </w:tcPr>
          <w:p>
            <w:pPr>
              <w:spacing w:line="260" w:lineRule="exact"/>
              <w:jc w:val="center"/>
              <w:rPr>
                <w:szCs w:val="21"/>
              </w:rPr>
            </w:pPr>
            <w:r>
              <w:rPr>
                <w:rFonts w:hint="eastAsia"/>
                <w:szCs w:val="21"/>
              </w:rPr>
              <w:t>结转结余率（</w:t>
            </w:r>
            <w:r>
              <w:rPr>
                <w:szCs w:val="21"/>
              </w:rPr>
              <w:t>2</w:t>
            </w:r>
            <w:r>
              <w:rPr>
                <w:rFonts w:hint="eastAsia"/>
                <w:szCs w:val="21"/>
              </w:rPr>
              <w:t>分）</w:t>
            </w:r>
          </w:p>
        </w:tc>
        <w:tc>
          <w:tcPr>
            <w:tcW w:w="1166" w:type="pct"/>
            <w:tcBorders>
              <w:top w:val="nil"/>
              <w:left w:val="nil"/>
              <w:bottom w:val="single" w:color="auto" w:sz="4" w:space="0"/>
              <w:right w:val="single" w:color="auto" w:sz="4" w:space="0"/>
            </w:tcBorders>
            <w:noWrap w:val="0"/>
            <w:vAlign w:val="center"/>
          </w:tcPr>
          <w:p>
            <w:pPr>
              <w:spacing w:line="260" w:lineRule="exact"/>
              <w:rPr>
                <w:szCs w:val="21"/>
              </w:rPr>
            </w:pPr>
            <w:r>
              <w:rPr>
                <w:rFonts w:hint="eastAsia"/>
                <w:szCs w:val="21"/>
              </w:rPr>
              <w:t>部门（单位）本年度结转结余总额与支出预算数的比率，用以反映和考核部门（单位）对本年度结转结余资金的实际控制程度。</w:t>
            </w:r>
          </w:p>
        </w:tc>
        <w:tc>
          <w:tcPr>
            <w:tcW w:w="1530" w:type="pct"/>
            <w:tcBorders>
              <w:top w:val="nil"/>
              <w:left w:val="nil"/>
              <w:bottom w:val="single" w:color="auto" w:sz="4" w:space="0"/>
              <w:right w:val="single" w:color="auto" w:sz="4" w:space="0"/>
            </w:tcBorders>
            <w:noWrap w:val="0"/>
            <w:vAlign w:val="center"/>
          </w:tcPr>
          <w:p>
            <w:pPr>
              <w:spacing w:line="260" w:lineRule="exact"/>
              <w:rPr>
                <w:szCs w:val="21"/>
              </w:rPr>
            </w:pPr>
            <w:r>
              <w:rPr>
                <w:rFonts w:hint="eastAsia"/>
                <w:szCs w:val="21"/>
              </w:rPr>
              <w:t>结转结余率</w:t>
            </w:r>
            <w:r>
              <w:rPr>
                <w:szCs w:val="21"/>
              </w:rPr>
              <w:t>=</w:t>
            </w:r>
            <w:r>
              <w:rPr>
                <w:rFonts w:hint="eastAsia"/>
                <w:szCs w:val="21"/>
              </w:rPr>
              <w:t>结转结余总额</w:t>
            </w:r>
            <w:r>
              <w:rPr>
                <w:szCs w:val="21"/>
              </w:rPr>
              <w:t>/</w:t>
            </w:r>
            <w:r>
              <w:rPr>
                <w:rFonts w:hint="eastAsia"/>
                <w:szCs w:val="21"/>
              </w:rPr>
              <w:t>支出预算数×</w:t>
            </w:r>
            <w:r>
              <w:rPr>
                <w:szCs w:val="21"/>
              </w:rPr>
              <w:t>100%</w:t>
            </w:r>
            <w:r>
              <w:rPr>
                <w:rFonts w:hint="eastAsia"/>
                <w:szCs w:val="21"/>
              </w:rPr>
              <w:t>。低于</w:t>
            </w:r>
            <w:r>
              <w:rPr>
                <w:szCs w:val="21"/>
              </w:rPr>
              <w:t>5%</w:t>
            </w:r>
            <w:r>
              <w:rPr>
                <w:rFonts w:hint="eastAsia"/>
                <w:szCs w:val="21"/>
              </w:rPr>
              <w:t>的计</w:t>
            </w:r>
            <w:r>
              <w:rPr>
                <w:szCs w:val="21"/>
              </w:rPr>
              <w:t>1</w:t>
            </w:r>
            <w:r>
              <w:rPr>
                <w:rFonts w:hint="eastAsia"/>
                <w:szCs w:val="21"/>
              </w:rPr>
              <w:t>分，每超过</w:t>
            </w:r>
            <w:r>
              <w:rPr>
                <w:szCs w:val="21"/>
              </w:rPr>
              <w:t>5</w:t>
            </w:r>
            <w:r>
              <w:rPr>
                <w:rFonts w:hint="eastAsia"/>
                <w:szCs w:val="21"/>
              </w:rPr>
              <w:t>个百分点扣</w:t>
            </w:r>
            <w:r>
              <w:rPr>
                <w:szCs w:val="21"/>
              </w:rPr>
              <w:t>1</w:t>
            </w:r>
            <w:r>
              <w:rPr>
                <w:rFonts w:hint="eastAsia"/>
                <w:szCs w:val="21"/>
              </w:rPr>
              <w:t>分，扣完为止。</w:t>
            </w:r>
          </w:p>
          <w:p>
            <w:pPr>
              <w:spacing w:line="260" w:lineRule="exact"/>
              <w:rPr>
                <w:szCs w:val="21"/>
              </w:rPr>
            </w:pPr>
            <w:r>
              <w:rPr>
                <w:rFonts w:hint="eastAsia"/>
                <w:szCs w:val="21"/>
              </w:rPr>
              <w:t>结转结余总额：部门（单位）本年度的结转资金与结余资金之和（以决算数为准）。</w:t>
            </w:r>
          </w:p>
        </w:tc>
        <w:tc>
          <w:tcPr>
            <w:tcW w:w="365" w:type="pct"/>
            <w:tcBorders>
              <w:top w:val="nil"/>
              <w:left w:val="nil"/>
              <w:bottom w:val="single" w:color="auto" w:sz="4" w:space="0"/>
              <w:right w:val="single" w:color="auto" w:sz="4" w:space="0"/>
            </w:tcBorders>
            <w:noWrap/>
            <w:vAlign w:val="center"/>
          </w:tcPr>
          <w:p>
            <w:pPr>
              <w:spacing w:line="260" w:lineRule="exact"/>
              <w:jc w:val="center"/>
              <w:rPr>
                <w:rFonts w:hint="eastAsia" w:eastAsia="宋体"/>
                <w:szCs w:val="21"/>
                <w:lang w:val="en-US" w:eastAsia="zh-CN"/>
              </w:rPr>
            </w:pPr>
            <w:r>
              <w:rPr>
                <w:rFonts w:hint="eastAsia"/>
                <w:szCs w:val="21"/>
                <w:lang w:val="en-US" w:eastAsia="zh-CN"/>
              </w:rPr>
              <w:t>2</w:t>
            </w:r>
          </w:p>
        </w:tc>
        <w:tc>
          <w:tcPr>
            <w:tcW w:w="472" w:type="pct"/>
            <w:tcBorders>
              <w:top w:val="nil"/>
              <w:left w:val="nil"/>
              <w:bottom w:val="single" w:color="auto" w:sz="4" w:space="0"/>
              <w:right w:val="single" w:color="auto" w:sz="12" w:space="0"/>
            </w:tcBorders>
            <w:noWrap/>
            <w:vAlign w:val="center"/>
          </w:tcPr>
          <w:p>
            <w:pPr>
              <w:spacing w:line="260" w:lineRule="exact"/>
              <w:jc w:val="center"/>
              <w:rPr>
                <w:szCs w:val="21"/>
              </w:rPr>
            </w:pPr>
            <w:r>
              <w:rPr>
                <w:rFonts w:hint="eastAsia"/>
                <w:szCs w:val="21"/>
                <w:lang w:eastAsia="zh-CN"/>
              </w:rPr>
              <w:t>符合要求</w:t>
            </w:r>
          </w:p>
        </w:tc>
      </w:tr>
      <w:tr>
        <w:tblPrEx>
          <w:tblCellMar>
            <w:top w:w="0" w:type="dxa"/>
            <w:left w:w="28" w:type="dxa"/>
            <w:bottom w:w="0" w:type="dxa"/>
            <w:right w:w="28" w:type="dxa"/>
          </w:tblCellMar>
        </w:tblPrEx>
        <w:trPr>
          <w:trHeight w:val="1247" w:hRule="atLeast"/>
          <w:jc w:val="center"/>
        </w:trPr>
        <w:tc>
          <w:tcPr>
            <w:tcW w:w="776" w:type="pct"/>
            <w:vMerge w:val="continue"/>
            <w:tcBorders>
              <w:left w:val="single" w:color="auto" w:sz="12" w:space="0"/>
              <w:bottom w:val="single" w:color="000000" w:sz="4" w:space="0"/>
              <w:right w:val="single" w:color="auto" w:sz="4" w:space="0"/>
            </w:tcBorders>
            <w:noWrap w:val="0"/>
            <w:vAlign w:val="center"/>
          </w:tcPr>
          <w:p>
            <w:pPr>
              <w:spacing w:line="260" w:lineRule="exact"/>
              <w:jc w:val="center"/>
              <w:rPr>
                <w:szCs w:val="21"/>
              </w:rPr>
            </w:pPr>
          </w:p>
        </w:tc>
        <w:tc>
          <w:tcPr>
            <w:tcW w:w="264" w:type="pct"/>
            <w:vMerge w:val="continue"/>
            <w:tcBorders>
              <w:left w:val="single" w:color="auto" w:sz="4" w:space="0"/>
              <w:bottom w:val="single" w:color="000000" w:sz="4" w:space="0"/>
              <w:right w:val="single" w:color="auto" w:sz="4" w:space="0"/>
            </w:tcBorders>
            <w:noWrap w:val="0"/>
            <w:vAlign w:val="center"/>
          </w:tcPr>
          <w:p>
            <w:pPr>
              <w:spacing w:line="260" w:lineRule="exact"/>
              <w:jc w:val="center"/>
              <w:rPr>
                <w:szCs w:val="21"/>
              </w:rPr>
            </w:pPr>
          </w:p>
        </w:tc>
        <w:tc>
          <w:tcPr>
            <w:tcW w:w="423" w:type="pct"/>
            <w:tcBorders>
              <w:top w:val="nil"/>
              <w:left w:val="nil"/>
              <w:bottom w:val="single" w:color="auto" w:sz="4" w:space="0"/>
              <w:right w:val="single" w:color="auto" w:sz="4" w:space="0"/>
            </w:tcBorders>
            <w:noWrap w:val="0"/>
            <w:vAlign w:val="center"/>
          </w:tcPr>
          <w:p>
            <w:pPr>
              <w:spacing w:line="260" w:lineRule="exact"/>
              <w:jc w:val="center"/>
              <w:rPr>
                <w:szCs w:val="21"/>
              </w:rPr>
            </w:pPr>
            <w:r>
              <w:rPr>
                <w:rFonts w:hint="eastAsia"/>
                <w:szCs w:val="21"/>
              </w:rPr>
              <w:t>结转结余变动率（</w:t>
            </w:r>
            <w:r>
              <w:rPr>
                <w:szCs w:val="21"/>
              </w:rPr>
              <w:t>2</w:t>
            </w:r>
            <w:r>
              <w:rPr>
                <w:rFonts w:hint="eastAsia"/>
                <w:szCs w:val="21"/>
              </w:rPr>
              <w:t>分）</w:t>
            </w:r>
          </w:p>
        </w:tc>
        <w:tc>
          <w:tcPr>
            <w:tcW w:w="1166" w:type="pct"/>
            <w:tcBorders>
              <w:top w:val="nil"/>
              <w:left w:val="nil"/>
              <w:bottom w:val="single" w:color="auto" w:sz="4" w:space="0"/>
              <w:right w:val="single" w:color="auto" w:sz="4" w:space="0"/>
            </w:tcBorders>
            <w:noWrap w:val="0"/>
            <w:vAlign w:val="center"/>
          </w:tcPr>
          <w:p>
            <w:pPr>
              <w:spacing w:line="260" w:lineRule="exact"/>
              <w:rPr>
                <w:szCs w:val="21"/>
              </w:rPr>
            </w:pPr>
            <w:r>
              <w:rPr>
                <w:rFonts w:hint="eastAsia"/>
                <w:szCs w:val="21"/>
              </w:rPr>
              <w:t>部门（单位）本年度结转结余资金总额与上年度结转结余资金总额的变动比率，用以反映和考核部门（单位）对控制结转结余资金的努力程度。</w:t>
            </w:r>
          </w:p>
        </w:tc>
        <w:tc>
          <w:tcPr>
            <w:tcW w:w="1530" w:type="pct"/>
            <w:tcBorders>
              <w:top w:val="nil"/>
              <w:left w:val="nil"/>
              <w:bottom w:val="single" w:color="auto" w:sz="4" w:space="0"/>
              <w:right w:val="single" w:color="auto" w:sz="4" w:space="0"/>
            </w:tcBorders>
            <w:noWrap w:val="0"/>
            <w:vAlign w:val="center"/>
          </w:tcPr>
          <w:p>
            <w:pPr>
              <w:spacing w:line="260" w:lineRule="exact"/>
              <w:rPr>
                <w:szCs w:val="21"/>
              </w:rPr>
            </w:pPr>
            <w:r>
              <w:rPr>
                <w:rFonts w:hint="eastAsia"/>
                <w:szCs w:val="21"/>
              </w:rPr>
              <w:t>结转结余变动率</w:t>
            </w:r>
            <w:r>
              <w:rPr>
                <w:szCs w:val="21"/>
              </w:rPr>
              <w:t>=[</w:t>
            </w:r>
            <w:r>
              <w:rPr>
                <w:rFonts w:hint="eastAsia"/>
                <w:szCs w:val="21"/>
              </w:rPr>
              <w:t>（本年度累计结转结余资金总额</w:t>
            </w:r>
            <w:r>
              <w:rPr>
                <w:szCs w:val="21"/>
              </w:rPr>
              <w:t>-</w:t>
            </w:r>
            <w:r>
              <w:rPr>
                <w:rFonts w:hint="eastAsia"/>
                <w:szCs w:val="21"/>
              </w:rPr>
              <w:t>上年度累计结转结余资金总额）</w:t>
            </w:r>
            <w:r>
              <w:rPr>
                <w:szCs w:val="21"/>
              </w:rPr>
              <w:t>/</w:t>
            </w:r>
            <w:r>
              <w:rPr>
                <w:rFonts w:hint="eastAsia"/>
                <w:szCs w:val="21"/>
              </w:rPr>
              <w:t>上年度累计结转结余资金总额</w:t>
            </w:r>
            <w:r>
              <w:rPr>
                <w:szCs w:val="21"/>
              </w:rPr>
              <w:t>]</w:t>
            </w:r>
            <w:r>
              <w:rPr>
                <w:rFonts w:hint="eastAsia"/>
                <w:szCs w:val="21"/>
              </w:rPr>
              <w:t>×</w:t>
            </w:r>
            <w:r>
              <w:rPr>
                <w:szCs w:val="21"/>
              </w:rPr>
              <w:t>100%</w:t>
            </w:r>
            <w:r>
              <w:rPr>
                <w:rFonts w:hint="eastAsia"/>
                <w:szCs w:val="21"/>
              </w:rPr>
              <w:t>。（低于</w:t>
            </w:r>
            <w:r>
              <w:rPr>
                <w:szCs w:val="21"/>
              </w:rPr>
              <w:t>15%</w:t>
            </w:r>
            <w:r>
              <w:rPr>
                <w:rFonts w:hint="eastAsia"/>
                <w:szCs w:val="21"/>
              </w:rPr>
              <w:t>的计</w:t>
            </w:r>
            <w:r>
              <w:rPr>
                <w:szCs w:val="21"/>
              </w:rPr>
              <w:t>2</w:t>
            </w:r>
            <w:r>
              <w:rPr>
                <w:rFonts w:hint="eastAsia"/>
                <w:szCs w:val="21"/>
              </w:rPr>
              <w:t>分，每超过</w:t>
            </w:r>
            <w:r>
              <w:rPr>
                <w:szCs w:val="21"/>
              </w:rPr>
              <w:t>5</w:t>
            </w:r>
            <w:r>
              <w:rPr>
                <w:rFonts w:hint="eastAsia"/>
                <w:szCs w:val="21"/>
              </w:rPr>
              <w:t>个百分点扣</w:t>
            </w:r>
            <w:r>
              <w:rPr>
                <w:szCs w:val="21"/>
              </w:rPr>
              <w:t>1</w:t>
            </w:r>
            <w:r>
              <w:rPr>
                <w:rFonts w:hint="eastAsia"/>
                <w:szCs w:val="21"/>
              </w:rPr>
              <w:t>分，扣完为止）</w:t>
            </w:r>
          </w:p>
        </w:tc>
        <w:tc>
          <w:tcPr>
            <w:tcW w:w="365" w:type="pct"/>
            <w:tcBorders>
              <w:top w:val="nil"/>
              <w:left w:val="nil"/>
              <w:bottom w:val="single" w:color="auto" w:sz="4" w:space="0"/>
              <w:right w:val="single" w:color="auto" w:sz="4" w:space="0"/>
            </w:tcBorders>
            <w:noWrap/>
            <w:vAlign w:val="center"/>
          </w:tcPr>
          <w:p>
            <w:pPr>
              <w:spacing w:line="260" w:lineRule="exact"/>
              <w:jc w:val="center"/>
              <w:rPr>
                <w:rFonts w:hint="eastAsia" w:eastAsia="宋体"/>
                <w:szCs w:val="21"/>
                <w:lang w:val="en-US" w:eastAsia="zh-CN"/>
              </w:rPr>
            </w:pPr>
            <w:r>
              <w:rPr>
                <w:rFonts w:hint="eastAsia"/>
                <w:szCs w:val="21"/>
                <w:lang w:val="en-US" w:eastAsia="zh-CN"/>
              </w:rPr>
              <w:t>2</w:t>
            </w:r>
          </w:p>
        </w:tc>
        <w:tc>
          <w:tcPr>
            <w:tcW w:w="472" w:type="pct"/>
            <w:tcBorders>
              <w:top w:val="nil"/>
              <w:left w:val="nil"/>
              <w:bottom w:val="single" w:color="auto" w:sz="4" w:space="0"/>
              <w:right w:val="single" w:color="auto" w:sz="12" w:space="0"/>
            </w:tcBorders>
            <w:noWrap/>
            <w:vAlign w:val="center"/>
          </w:tcPr>
          <w:p>
            <w:pPr>
              <w:spacing w:line="260" w:lineRule="exact"/>
              <w:jc w:val="center"/>
              <w:rPr>
                <w:szCs w:val="21"/>
              </w:rPr>
            </w:pPr>
            <w:r>
              <w:rPr>
                <w:rFonts w:hint="eastAsia"/>
                <w:szCs w:val="21"/>
                <w:lang w:eastAsia="zh-CN"/>
              </w:rPr>
              <w:t>符合要求</w:t>
            </w:r>
          </w:p>
        </w:tc>
      </w:tr>
      <w:tr>
        <w:tblPrEx>
          <w:tblCellMar>
            <w:top w:w="0" w:type="dxa"/>
            <w:left w:w="28" w:type="dxa"/>
            <w:bottom w:w="0" w:type="dxa"/>
            <w:right w:w="28" w:type="dxa"/>
          </w:tblCellMar>
        </w:tblPrEx>
        <w:trPr>
          <w:trHeight w:val="1153" w:hRule="atLeast"/>
          <w:jc w:val="center"/>
        </w:trPr>
        <w:tc>
          <w:tcPr>
            <w:tcW w:w="776" w:type="pct"/>
            <w:vMerge w:val="restart"/>
            <w:tcBorders>
              <w:top w:val="nil"/>
              <w:left w:val="single" w:color="auto" w:sz="12" w:space="0"/>
              <w:right w:val="single" w:color="auto" w:sz="4" w:space="0"/>
            </w:tcBorders>
            <w:noWrap w:val="0"/>
            <w:vAlign w:val="center"/>
          </w:tcPr>
          <w:p>
            <w:pPr>
              <w:spacing w:line="260" w:lineRule="exact"/>
              <w:jc w:val="center"/>
              <w:rPr>
                <w:szCs w:val="21"/>
              </w:rPr>
            </w:pPr>
            <w:r>
              <w:rPr>
                <w:rFonts w:hint="eastAsia"/>
                <w:szCs w:val="21"/>
              </w:rPr>
              <w:t>过程（</w:t>
            </w:r>
            <w:r>
              <w:rPr>
                <w:szCs w:val="21"/>
              </w:rPr>
              <w:t>30</w:t>
            </w:r>
            <w:r>
              <w:rPr>
                <w:rFonts w:hint="eastAsia"/>
                <w:szCs w:val="21"/>
              </w:rPr>
              <w:t>分）</w:t>
            </w:r>
          </w:p>
        </w:tc>
        <w:tc>
          <w:tcPr>
            <w:tcW w:w="264" w:type="pct"/>
            <w:vMerge w:val="restart"/>
            <w:tcBorders>
              <w:top w:val="nil"/>
              <w:left w:val="single" w:color="auto" w:sz="4" w:space="0"/>
              <w:right w:val="single" w:color="auto" w:sz="4" w:space="0"/>
            </w:tcBorders>
            <w:noWrap w:val="0"/>
            <w:vAlign w:val="center"/>
          </w:tcPr>
          <w:p>
            <w:pPr>
              <w:spacing w:line="260" w:lineRule="exact"/>
              <w:jc w:val="center"/>
              <w:rPr>
                <w:szCs w:val="21"/>
              </w:rPr>
            </w:pPr>
            <w:r>
              <w:rPr>
                <w:rFonts w:hint="eastAsia"/>
                <w:szCs w:val="21"/>
              </w:rPr>
              <w:t>预算执行（</w:t>
            </w:r>
            <w:r>
              <w:rPr>
                <w:szCs w:val="21"/>
              </w:rPr>
              <w:t>20</w:t>
            </w:r>
            <w:r>
              <w:rPr>
                <w:rFonts w:hint="eastAsia"/>
                <w:szCs w:val="21"/>
              </w:rPr>
              <w:t>分）</w:t>
            </w:r>
          </w:p>
        </w:tc>
        <w:tc>
          <w:tcPr>
            <w:tcW w:w="423" w:type="pct"/>
            <w:tcBorders>
              <w:top w:val="nil"/>
              <w:left w:val="nil"/>
              <w:bottom w:val="single" w:color="auto" w:sz="4" w:space="0"/>
              <w:right w:val="single" w:color="auto" w:sz="4" w:space="0"/>
            </w:tcBorders>
            <w:noWrap w:val="0"/>
            <w:vAlign w:val="center"/>
          </w:tcPr>
          <w:p>
            <w:pPr>
              <w:spacing w:line="280" w:lineRule="exact"/>
              <w:jc w:val="center"/>
              <w:rPr>
                <w:szCs w:val="21"/>
              </w:rPr>
            </w:pPr>
            <w:r>
              <w:rPr>
                <w:rFonts w:hint="eastAsia"/>
                <w:szCs w:val="21"/>
              </w:rPr>
              <w:t>公用经费控制率（</w:t>
            </w:r>
            <w:r>
              <w:rPr>
                <w:szCs w:val="21"/>
              </w:rPr>
              <w:t>2</w:t>
            </w:r>
            <w:r>
              <w:rPr>
                <w:rFonts w:hint="eastAsia"/>
                <w:szCs w:val="21"/>
              </w:rPr>
              <w:t>分）</w:t>
            </w:r>
          </w:p>
        </w:tc>
        <w:tc>
          <w:tcPr>
            <w:tcW w:w="1166" w:type="pct"/>
            <w:tcBorders>
              <w:top w:val="nil"/>
              <w:left w:val="nil"/>
              <w:bottom w:val="single" w:color="auto" w:sz="4" w:space="0"/>
              <w:right w:val="single" w:color="auto" w:sz="4" w:space="0"/>
            </w:tcBorders>
            <w:noWrap w:val="0"/>
            <w:vAlign w:val="center"/>
          </w:tcPr>
          <w:p>
            <w:pPr>
              <w:spacing w:line="280" w:lineRule="exact"/>
              <w:rPr>
                <w:szCs w:val="21"/>
              </w:rPr>
            </w:pPr>
            <w:r>
              <w:rPr>
                <w:rFonts w:hint="eastAsia"/>
                <w:szCs w:val="21"/>
              </w:rPr>
              <w:t>部门（单位）本年度实际支出的公用经费总额与预算安排的公用经费总额的比率，用以反映和考核部门（单位）对机构运转成本的实际控制程度。</w:t>
            </w:r>
          </w:p>
        </w:tc>
        <w:tc>
          <w:tcPr>
            <w:tcW w:w="1530" w:type="pct"/>
            <w:tcBorders>
              <w:top w:val="nil"/>
              <w:left w:val="nil"/>
              <w:bottom w:val="single" w:color="auto" w:sz="4" w:space="0"/>
              <w:right w:val="single" w:color="auto" w:sz="4" w:space="0"/>
            </w:tcBorders>
            <w:noWrap w:val="0"/>
            <w:vAlign w:val="center"/>
          </w:tcPr>
          <w:p>
            <w:pPr>
              <w:spacing w:line="280" w:lineRule="exact"/>
              <w:rPr>
                <w:szCs w:val="21"/>
              </w:rPr>
            </w:pPr>
            <w:r>
              <w:rPr>
                <w:rFonts w:hint="eastAsia"/>
                <w:szCs w:val="21"/>
              </w:rPr>
              <w:t>公用经费控制率</w:t>
            </w:r>
            <w:r>
              <w:rPr>
                <w:szCs w:val="21"/>
              </w:rPr>
              <w:t>=</w:t>
            </w:r>
            <w:r>
              <w:rPr>
                <w:rFonts w:hint="eastAsia"/>
                <w:szCs w:val="21"/>
              </w:rPr>
              <w:t>（实际支出公用经费总额</w:t>
            </w:r>
            <w:r>
              <w:rPr>
                <w:szCs w:val="21"/>
              </w:rPr>
              <w:t>/</w:t>
            </w:r>
            <w:r>
              <w:rPr>
                <w:rFonts w:hint="eastAsia"/>
                <w:szCs w:val="21"/>
              </w:rPr>
              <w:t>预算安排公用经费总额）×</w:t>
            </w:r>
            <w:r>
              <w:rPr>
                <w:szCs w:val="21"/>
              </w:rPr>
              <w:t>100%</w:t>
            </w:r>
            <w:r>
              <w:rPr>
                <w:rFonts w:hint="eastAsia"/>
                <w:szCs w:val="21"/>
              </w:rPr>
              <w:t>。（为</w:t>
            </w:r>
            <w:r>
              <w:rPr>
                <w:szCs w:val="21"/>
              </w:rPr>
              <w:t>100%</w:t>
            </w:r>
            <w:r>
              <w:rPr>
                <w:rFonts w:hint="eastAsia"/>
                <w:szCs w:val="21"/>
              </w:rPr>
              <w:t>的计</w:t>
            </w:r>
            <w:r>
              <w:rPr>
                <w:szCs w:val="21"/>
              </w:rPr>
              <w:t>2</w:t>
            </w:r>
            <w:r>
              <w:rPr>
                <w:rFonts w:hint="eastAsia"/>
                <w:szCs w:val="21"/>
              </w:rPr>
              <w:t>分，每超过</w:t>
            </w:r>
            <w:r>
              <w:rPr>
                <w:szCs w:val="21"/>
              </w:rPr>
              <w:t>1</w:t>
            </w:r>
            <w:r>
              <w:rPr>
                <w:rFonts w:hint="eastAsia"/>
                <w:szCs w:val="21"/>
              </w:rPr>
              <w:t>个百分点扣</w:t>
            </w:r>
            <w:r>
              <w:rPr>
                <w:szCs w:val="21"/>
              </w:rPr>
              <w:t>0.1</w:t>
            </w:r>
            <w:r>
              <w:rPr>
                <w:rFonts w:hint="eastAsia"/>
                <w:szCs w:val="21"/>
              </w:rPr>
              <w:t>分，扣完为止）</w:t>
            </w:r>
          </w:p>
        </w:tc>
        <w:tc>
          <w:tcPr>
            <w:tcW w:w="365" w:type="pct"/>
            <w:tcBorders>
              <w:top w:val="nil"/>
              <w:left w:val="nil"/>
              <w:bottom w:val="single" w:color="auto" w:sz="4" w:space="0"/>
              <w:right w:val="single" w:color="auto" w:sz="4" w:space="0"/>
            </w:tcBorders>
            <w:noWrap/>
            <w:vAlign w:val="center"/>
          </w:tcPr>
          <w:p>
            <w:pPr>
              <w:spacing w:line="280" w:lineRule="exact"/>
              <w:jc w:val="center"/>
              <w:rPr>
                <w:rFonts w:hint="eastAsia" w:eastAsia="宋体"/>
                <w:szCs w:val="21"/>
                <w:lang w:val="en-US" w:eastAsia="zh-CN"/>
              </w:rPr>
            </w:pPr>
            <w:r>
              <w:rPr>
                <w:rFonts w:hint="eastAsia"/>
                <w:szCs w:val="21"/>
                <w:lang w:val="en-US" w:eastAsia="zh-CN"/>
              </w:rPr>
              <w:t>2</w:t>
            </w:r>
          </w:p>
        </w:tc>
        <w:tc>
          <w:tcPr>
            <w:tcW w:w="472" w:type="pct"/>
            <w:tcBorders>
              <w:top w:val="nil"/>
              <w:left w:val="nil"/>
              <w:bottom w:val="single" w:color="auto" w:sz="4" w:space="0"/>
              <w:right w:val="single" w:color="auto" w:sz="12" w:space="0"/>
            </w:tcBorders>
            <w:noWrap/>
            <w:vAlign w:val="center"/>
          </w:tcPr>
          <w:p>
            <w:pPr>
              <w:spacing w:line="280" w:lineRule="exact"/>
              <w:jc w:val="center"/>
              <w:rPr>
                <w:szCs w:val="21"/>
              </w:rPr>
            </w:pPr>
            <w:r>
              <w:rPr>
                <w:rFonts w:hint="eastAsia"/>
                <w:szCs w:val="21"/>
                <w:lang w:eastAsia="zh-CN"/>
              </w:rPr>
              <w:t>符合要求</w:t>
            </w:r>
          </w:p>
        </w:tc>
      </w:tr>
      <w:tr>
        <w:tblPrEx>
          <w:tblCellMar>
            <w:top w:w="0" w:type="dxa"/>
            <w:left w:w="28" w:type="dxa"/>
            <w:bottom w:w="0" w:type="dxa"/>
            <w:right w:w="28" w:type="dxa"/>
          </w:tblCellMar>
        </w:tblPrEx>
        <w:trPr>
          <w:trHeight w:val="1172" w:hRule="atLeast"/>
          <w:jc w:val="center"/>
        </w:trPr>
        <w:tc>
          <w:tcPr>
            <w:tcW w:w="776" w:type="pct"/>
            <w:vMerge w:val="continue"/>
            <w:tcBorders>
              <w:left w:val="single" w:color="auto" w:sz="12" w:space="0"/>
              <w:right w:val="single" w:color="auto" w:sz="4" w:space="0"/>
            </w:tcBorders>
            <w:noWrap w:val="0"/>
            <w:vAlign w:val="center"/>
          </w:tcPr>
          <w:p>
            <w:pPr>
              <w:spacing w:line="280" w:lineRule="exact"/>
              <w:jc w:val="center"/>
              <w:rPr>
                <w:szCs w:val="21"/>
              </w:rPr>
            </w:pPr>
          </w:p>
        </w:tc>
        <w:tc>
          <w:tcPr>
            <w:tcW w:w="264" w:type="pct"/>
            <w:vMerge w:val="continue"/>
            <w:tcBorders>
              <w:left w:val="single" w:color="auto" w:sz="4" w:space="0"/>
              <w:right w:val="single" w:color="auto" w:sz="4" w:space="0"/>
            </w:tcBorders>
            <w:noWrap w:val="0"/>
            <w:vAlign w:val="center"/>
          </w:tcPr>
          <w:p>
            <w:pPr>
              <w:spacing w:line="280" w:lineRule="exact"/>
              <w:jc w:val="center"/>
              <w:rPr>
                <w:szCs w:val="21"/>
              </w:rPr>
            </w:pPr>
          </w:p>
        </w:tc>
        <w:tc>
          <w:tcPr>
            <w:tcW w:w="423" w:type="pct"/>
            <w:tcBorders>
              <w:top w:val="nil"/>
              <w:left w:val="nil"/>
              <w:bottom w:val="single" w:color="auto" w:sz="4" w:space="0"/>
              <w:right w:val="single" w:color="auto" w:sz="4" w:space="0"/>
            </w:tcBorders>
            <w:noWrap w:val="0"/>
            <w:vAlign w:val="center"/>
          </w:tcPr>
          <w:p>
            <w:pPr>
              <w:spacing w:line="280" w:lineRule="exact"/>
              <w:jc w:val="center"/>
              <w:rPr>
                <w:szCs w:val="21"/>
              </w:rPr>
            </w:pPr>
            <w:r>
              <w:rPr>
                <w:rFonts w:hint="eastAsia"/>
                <w:szCs w:val="21"/>
              </w:rPr>
              <w:t>“三公经费”控制率（</w:t>
            </w:r>
            <w:r>
              <w:rPr>
                <w:szCs w:val="21"/>
              </w:rPr>
              <w:t>2</w:t>
            </w:r>
            <w:r>
              <w:rPr>
                <w:rFonts w:hint="eastAsia"/>
                <w:szCs w:val="21"/>
              </w:rPr>
              <w:t>分）</w:t>
            </w:r>
          </w:p>
        </w:tc>
        <w:tc>
          <w:tcPr>
            <w:tcW w:w="1166" w:type="pct"/>
            <w:tcBorders>
              <w:top w:val="nil"/>
              <w:left w:val="nil"/>
              <w:bottom w:val="single" w:color="auto" w:sz="4" w:space="0"/>
              <w:right w:val="single" w:color="auto" w:sz="4" w:space="0"/>
            </w:tcBorders>
            <w:noWrap w:val="0"/>
            <w:vAlign w:val="center"/>
          </w:tcPr>
          <w:p>
            <w:pPr>
              <w:spacing w:line="280" w:lineRule="exact"/>
              <w:rPr>
                <w:szCs w:val="21"/>
              </w:rPr>
            </w:pPr>
            <w:r>
              <w:rPr>
                <w:rFonts w:hint="eastAsia"/>
                <w:szCs w:val="21"/>
              </w:rPr>
              <w:t>部门（单位）本年度“三公经费”实际支出数与预算安排数的比率，用以反映和考核部门（单位）对“三公经费”的实际控制程度。</w:t>
            </w:r>
          </w:p>
        </w:tc>
        <w:tc>
          <w:tcPr>
            <w:tcW w:w="1530" w:type="pct"/>
            <w:tcBorders>
              <w:top w:val="nil"/>
              <w:left w:val="nil"/>
              <w:bottom w:val="single" w:color="auto" w:sz="4" w:space="0"/>
              <w:right w:val="single" w:color="auto" w:sz="4" w:space="0"/>
            </w:tcBorders>
            <w:noWrap w:val="0"/>
            <w:vAlign w:val="center"/>
          </w:tcPr>
          <w:p>
            <w:pPr>
              <w:spacing w:line="280" w:lineRule="exact"/>
              <w:rPr>
                <w:szCs w:val="21"/>
              </w:rPr>
            </w:pPr>
            <w:r>
              <w:rPr>
                <w:rFonts w:hint="eastAsia"/>
                <w:szCs w:val="21"/>
              </w:rPr>
              <w:t>“三公经费”控制率</w:t>
            </w:r>
            <w:r>
              <w:rPr>
                <w:szCs w:val="21"/>
              </w:rPr>
              <w:t>=</w:t>
            </w:r>
            <w:r>
              <w:rPr>
                <w:rFonts w:hint="eastAsia"/>
                <w:szCs w:val="21"/>
              </w:rPr>
              <w:t>（“三公经费”实际支出数</w:t>
            </w:r>
            <w:r>
              <w:rPr>
                <w:szCs w:val="21"/>
              </w:rPr>
              <w:t>/</w:t>
            </w:r>
            <w:r>
              <w:rPr>
                <w:rFonts w:hint="eastAsia"/>
                <w:szCs w:val="21"/>
              </w:rPr>
              <w:t>“三公经费”预算安排数）×</w:t>
            </w:r>
            <w:r>
              <w:rPr>
                <w:szCs w:val="21"/>
              </w:rPr>
              <w:t>100%</w:t>
            </w:r>
            <w:r>
              <w:rPr>
                <w:rFonts w:hint="eastAsia"/>
                <w:szCs w:val="21"/>
              </w:rPr>
              <w:t>。（为</w:t>
            </w:r>
            <w:r>
              <w:rPr>
                <w:szCs w:val="21"/>
              </w:rPr>
              <w:t>100%</w:t>
            </w:r>
            <w:r>
              <w:rPr>
                <w:rFonts w:hint="eastAsia"/>
                <w:szCs w:val="21"/>
              </w:rPr>
              <w:t>的计</w:t>
            </w:r>
            <w:r>
              <w:rPr>
                <w:szCs w:val="21"/>
              </w:rPr>
              <w:t>2</w:t>
            </w:r>
            <w:r>
              <w:rPr>
                <w:rFonts w:hint="eastAsia"/>
                <w:szCs w:val="21"/>
              </w:rPr>
              <w:t>分，每超过</w:t>
            </w:r>
            <w:r>
              <w:rPr>
                <w:szCs w:val="21"/>
              </w:rPr>
              <w:t>1</w:t>
            </w:r>
            <w:r>
              <w:rPr>
                <w:rFonts w:hint="eastAsia"/>
                <w:szCs w:val="21"/>
              </w:rPr>
              <w:t>个百分点扣</w:t>
            </w:r>
            <w:r>
              <w:rPr>
                <w:szCs w:val="21"/>
              </w:rPr>
              <w:t>0.5</w:t>
            </w:r>
            <w:r>
              <w:rPr>
                <w:rFonts w:hint="eastAsia"/>
                <w:szCs w:val="21"/>
              </w:rPr>
              <w:t>分，扣完为止）</w:t>
            </w:r>
          </w:p>
        </w:tc>
        <w:tc>
          <w:tcPr>
            <w:tcW w:w="365" w:type="pct"/>
            <w:tcBorders>
              <w:top w:val="nil"/>
              <w:left w:val="nil"/>
              <w:bottom w:val="single" w:color="auto" w:sz="4" w:space="0"/>
              <w:right w:val="single" w:color="auto" w:sz="4" w:space="0"/>
            </w:tcBorders>
            <w:noWrap/>
            <w:vAlign w:val="center"/>
          </w:tcPr>
          <w:p>
            <w:pPr>
              <w:spacing w:line="280" w:lineRule="exact"/>
              <w:jc w:val="center"/>
              <w:rPr>
                <w:rFonts w:hint="eastAsia" w:eastAsia="宋体"/>
                <w:szCs w:val="21"/>
                <w:lang w:val="en-US" w:eastAsia="zh-CN"/>
              </w:rPr>
            </w:pPr>
            <w:r>
              <w:rPr>
                <w:rFonts w:hint="eastAsia"/>
                <w:szCs w:val="21"/>
                <w:lang w:val="en-US" w:eastAsia="zh-CN"/>
              </w:rPr>
              <w:t>2</w:t>
            </w:r>
          </w:p>
        </w:tc>
        <w:tc>
          <w:tcPr>
            <w:tcW w:w="472" w:type="pct"/>
            <w:tcBorders>
              <w:top w:val="nil"/>
              <w:left w:val="nil"/>
              <w:bottom w:val="single" w:color="auto" w:sz="4" w:space="0"/>
              <w:right w:val="single" w:color="auto" w:sz="12" w:space="0"/>
            </w:tcBorders>
            <w:noWrap/>
            <w:vAlign w:val="center"/>
          </w:tcPr>
          <w:p>
            <w:pPr>
              <w:spacing w:line="280" w:lineRule="exact"/>
              <w:jc w:val="center"/>
              <w:rPr>
                <w:szCs w:val="21"/>
              </w:rPr>
            </w:pPr>
            <w:r>
              <w:rPr>
                <w:rFonts w:hint="eastAsia"/>
                <w:szCs w:val="21"/>
                <w:lang w:eastAsia="zh-CN"/>
              </w:rPr>
              <w:t>符合要求</w:t>
            </w:r>
          </w:p>
        </w:tc>
      </w:tr>
      <w:tr>
        <w:tblPrEx>
          <w:tblCellMar>
            <w:top w:w="0" w:type="dxa"/>
            <w:left w:w="28" w:type="dxa"/>
            <w:bottom w:w="0" w:type="dxa"/>
            <w:right w:w="28" w:type="dxa"/>
          </w:tblCellMar>
        </w:tblPrEx>
        <w:trPr>
          <w:trHeight w:val="1500" w:hRule="atLeast"/>
          <w:jc w:val="center"/>
        </w:trPr>
        <w:tc>
          <w:tcPr>
            <w:tcW w:w="776" w:type="pct"/>
            <w:vMerge w:val="continue"/>
            <w:tcBorders>
              <w:left w:val="single" w:color="auto" w:sz="12" w:space="0"/>
              <w:right w:val="single" w:color="auto" w:sz="4" w:space="0"/>
            </w:tcBorders>
            <w:noWrap w:val="0"/>
            <w:vAlign w:val="center"/>
          </w:tcPr>
          <w:p>
            <w:pPr>
              <w:spacing w:line="280" w:lineRule="exact"/>
              <w:jc w:val="center"/>
              <w:rPr>
                <w:szCs w:val="21"/>
              </w:rPr>
            </w:pPr>
          </w:p>
        </w:tc>
        <w:tc>
          <w:tcPr>
            <w:tcW w:w="264" w:type="pct"/>
            <w:vMerge w:val="continue"/>
            <w:tcBorders>
              <w:left w:val="single" w:color="auto" w:sz="4" w:space="0"/>
              <w:bottom w:val="single" w:color="000000" w:sz="4" w:space="0"/>
              <w:right w:val="single" w:color="auto" w:sz="4" w:space="0"/>
            </w:tcBorders>
            <w:noWrap w:val="0"/>
            <w:vAlign w:val="center"/>
          </w:tcPr>
          <w:p>
            <w:pPr>
              <w:spacing w:line="280" w:lineRule="exact"/>
              <w:jc w:val="center"/>
              <w:rPr>
                <w:szCs w:val="21"/>
              </w:rPr>
            </w:pPr>
          </w:p>
        </w:tc>
        <w:tc>
          <w:tcPr>
            <w:tcW w:w="423" w:type="pct"/>
            <w:tcBorders>
              <w:top w:val="nil"/>
              <w:left w:val="nil"/>
              <w:bottom w:val="single" w:color="auto" w:sz="4" w:space="0"/>
              <w:right w:val="single" w:color="auto" w:sz="4" w:space="0"/>
            </w:tcBorders>
            <w:noWrap w:val="0"/>
            <w:vAlign w:val="center"/>
          </w:tcPr>
          <w:p>
            <w:pPr>
              <w:spacing w:line="280" w:lineRule="exact"/>
              <w:jc w:val="center"/>
              <w:rPr>
                <w:szCs w:val="21"/>
              </w:rPr>
            </w:pPr>
            <w:r>
              <w:rPr>
                <w:rFonts w:hint="eastAsia"/>
                <w:szCs w:val="21"/>
              </w:rPr>
              <w:t>政府采购执行率（</w:t>
            </w:r>
            <w:r>
              <w:rPr>
                <w:szCs w:val="21"/>
              </w:rPr>
              <w:t>4</w:t>
            </w:r>
            <w:r>
              <w:rPr>
                <w:rFonts w:hint="eastAsia"/>
                <w:szCs w:val="21"/>
              </w:rPr>
              <w:t>分）</w:t>
            </w:r>
          </w:p>
        </w:tc>
        <w:tc>
          <w:tcPr>
            <w:tcW w:w="1166" w:type="pct"/>
            <w:tcBorders>
              <w:top w:val="nil"/>
              <w:left w:val="nil"/>
              <w:bottom w:val="single" w:color="auto" w:sz="4" w:space="0"/>
              <w:right w:val="single" w:color="auto" w:sz="4" w:space="0"/>
            </w:tcBorders>
            <w:noWrap w:val="0"/>
            <w:vAlign w:val="center"/>
          </w:tcPr>
          <w:p>
            <w:pPr>
              <w:spacing w:line="280" w:lineRule="exact"/>
              <w:rPr>
                <w:szCs w:val="21"/>
              </w:rPr>
            </w:pPr>
            <w:r>
              <w:rPr>
                <w:rFonts w:hint="eastAsia"/>
                <w:szCs w:val="21"/>
              </w:rPr>
              <w:t>部门（单位）本年度实际政府采购金额与年初政府采购预算的比率，用以反映和考核部门（单位）政府采购预算执行情况。</w:t>
            </w:r>
          </w:p>
        </w:tc>
        <w:tc>
          <w:tcPr>
            <w:tcW w:w="1530" w:type="pct"/>
            <w:tcBorders>
              <w:top w:val="nil"/>
              <w:left w:val="nil"/>
              <w:bottom w:val="single" w:color="auto" w:sz="4" w:space="0"/>
              <w:right w:val="single" w:color="auto" w:sz="4" w:space="0"/>
            </w:tcBorders>
            <w:noWrap w:val="0"/>
            <w:vAlign w:val="center"/>
          </w:tcPr>
          <w:p>
            <w:pPr>
              <w:spacing w:line="280" w:lineRule="exact"/>
              <w:rPr>
                <w:szCs w:val="21"/>
              </w:rPr>
            </w:pPr>
            <w:r>
              <w:rPr>
                <w:rFonts w:hint="eastAsia"/>
                <w:szCs w:val="21"/>
              </w:rPr>
              <w:t>政府采购执行率</w:t>
            </w:r>
            <w:r>
              <w:rPr>
                <w:szCs w:val="21"/>
              </w:rPr>
              <w:t>=</w:t>
            </w:r>
            <w:r>
              <w:rPr>
                <w:rFonts w:hint="eastAsia"/>
                <w:szCs w:val="21"/>
              </w:rPr>
              <w:t>（实际政府采购金额</w:t>
            </w:r>
            <w:r>
              <w:rPr>
                <w:szCs w:val="21"/>
              </w:rPr>
              <w:t>/</w:t>
            </w:r>
            <w:r>
              <w:rPr>
                <w:rFonts w:hint="eastAsia"/>
                <w:szCs w:val="21"/>
              </w:rPr>
              <w:t>政府采购预算数）×</w:t>
            </w:r>
            <w:r>
              <w:rPr>
                <w:szCs w:val="21"/>
              </w:rPr>
              <w:t>100%</w:t>
            </w:r>
            <w:r>
              <w:rPr>
                <w:rFonts w:hint="eastAsia"/>
                <w:szCs w:val="21"/>
              </w:rPr>
              <w:t>。（为</w:t>
            </w:r>
            <w:r>
              <w:rPr>
                <w:szCs w:val="21"/>
              </w:rPr>
              <w:t>100%</w:t>
            </w:r>
            <w:r>
              <w:rPr>
                <w:rFonts w:hint="eastAsia"/>
                <w:szCs w:val="21"/>
              </w:rPr>
              <w:t>的计</w:t>
            </w:r>
            <w:r>
              <w:rPr>
                <w:szCs w:val="21"/>
              </w:rPr>
              <w:t>2</w:t>
            </w:r>
            <w:r>
              <w:rPr>
                <w:rFonts w:hint="eastAsia"/>
                <w:szCs w:val="21"/>
              </w:rPr>
              <w:t>分，每低于</w:t>
            </w:r>
            <w:r>
              <w:rPr>
                <w:szCs w:val="21"/>
              </w:rPr>
              <w:t>1</w:t>
            </w:r>
            <w:r>
              <w:rPr>
                <w:rFonts w:hint="eastAsia"/>
                <w:szCs w:val="21"/>
              </w:rPr>
              <w:t>个百分点扣</w:t>
            </w:r>
            <w:r>
              <w:rPr>
                <w:szCs w:val="21"/>
              </w:rPr>
              <w:t>0.5</w:t>
            </w:r>
            <w:r>
              <w:rPr>
                <w:rFonts w:hint="eastAsia"/>
                <w:szCs w:val="21"/>
              </w:rPr>
              <w:t>分，扣完为止）</w:t>
            </w:r>
          </w:p>
          <w:p>
            <w:pPr>
              <w:spacing w:line="280" w:lineRule="exact"/>
              <w:rPr>
                <w:szCs w:val="21"/>
              </w:rPr>
            </w:pPr>
            <w:r>
              <w:rPr>
                <w:rFonts w:hint="eastAsia"/>
                <w:szCs w:val="21"/>
              </w:rPr>
              <w:t>政府采购预算：采购机关根据事业发展计划和行政任务编制的、并经过规定程序批准的年度政府采购计划。</w:t>
            </w:r>
          </w:p>
        </w:tc>
        <w:tc>
          <w:tcPr>
            <w:tcW w:w="365" w:type="pct"/>
            <w:tcBorders>
              <w:top w:val="nil"/>
              <w:left w:val="nil"/>
              <w:bottom w:val="single" w:color="auto" w:sz="4" w:space="0"/>
              <w:right w:val="single" w:color="auto" w:sz="4" w:space="0"/>
            </w:tcBorders>
            <w:noWrap/>
            <w:vAlign w:val="center"/>
          </w:tcPr>
          <w:p>
            <w:pPr>
              <w:spacing w:line="280" w:lineRule="exact"/>
              <w:jc w:val="center"/>
              <w:rPr>
                <w:rFonts w:hint="eastAsia" w:eastAsia="宋体"/>
                <w:szCs w:val="21"/>
                <w:lang w:val="en-US" w:eastAsia="zh-CN"/>
              </w:rPr>
            </w:pPr>
            <w:r>
              <w:rPr>
                <w:rFonts w:hint="eastAsia"/>
                <w:szCs w:val="21"/>
                <w:lang w:val="en-US" w:eastAsia="zh-CN"/>
              </w:rPr>
              <w:t>4</w:t>
            </w:r>
          </w:p>
        </w:tc>
        <w:tc>
          <w:tcPr>
            <w:tcW w:w="472" w:type="pct"/>
            <w:tcBorders>
              <w:top w:val="nil"/>
              <w:left w:val="nil"/>
              <w:bottom w:val="single" w:color="auto" w:sz="4" w:space="0"/>
              <w:right w:val="single" w:color="auto" w:sz="12" w:space="0"/>
            </w:tcBorders>
            <w:noWrap/>
            <w:vAlign w:val="center"/>
          </w:tcPr>
          <w:p>
            <w:pPr>
              <w:spacing w:line="280" w:lineRule="exact"/>
              <w:jc w:val="center"/>
              <w:rPr>
                <w:szCs w:val="21"/>
              </w:rPr>
            </w:pPr>
            <w:r>
              <w:rPr>
                <w:rFonts w:hint="eastAsia"/>
                <w:szCs w:val="21"/>
                <w:lang w:eastAsia="zh-CN"/>
              </w:rPr>
              <w:t>符合要求</w:t>
            </w:r>
          </w:p>
        </w:tc>
      </w:tr>
      <w:tr>
        <w:tblPrEx>
          <w:tblCellMar>
            <w:top w:w="0" w:type="dxa"/>
            <w:left w:w="28" w:type="dxa"/>
            <w:bottom w:w="0" w:type="dxa"/>
            <w:right w:w="28" w:type="dxa"/>
          </w:tblCellMar>
        </w:tblPrEx>
        <w:trPr>
          <w:trHeight w:val="1635" w:hRule="atLeast"/>
          <w:jc w:val="center"/>
        </w:trPr>
        <w:tc>
          <w:tcPr>
            <w:tcW w:w="776" w:type="pct"/>
            <w:vMerge w:val="continue"/>
            <w:tcBorders>
              <w:left w:val="single" w:color="auto" w:sz="12" w:space="0"/>
              <w:right w:val="single" w:color="auto" w:sz="4" w:space="0"/>
            </w:tcBorders>
            <w:noWrap w:val="0"/>
            <w:vAlign w:val="center"/>
          </w:tcPr>
          <w:p>
            <w:pPr>
              <w:spacing w:line="280" w:lineRule="exact"/>
              <w:jc w:val="center"/>
              <w:rPr>
                <w:szCs w:val="21"/>
              </w:rPr>
            </w:pPr>
          </w:p>
        </w:tc>
        <w:tc>
          <w:tcPr>
            <w:tcW w:w="264" w:type="pct"/>
            <w:vMerge w:val="restart"/>
            <w:tcBorders>
              <w:top w:val="nil"/>
              <w:left w:val="single" w:color="auto" w:sz="4" w:space="0"/>
              <w:right w:val="single" w:color="auto" w:sz="4" w:space="0"/>
            </w:tcBorders>
            <w:noWrap w:val="0"/>
            <w:vAlign w:val="center"/>
          </w:tcPr>
          <w:p>
            <w:pPr>
              <w:spacing w:line="280" w:lineRule="exact"/>
              <w:jc w:val="center"/>
              <w:rPr>
                <w:szCs w:val="21"/>
              </w:rPr>
            </w:pPr>
            <w:r>
              <w:rPr>
                <w:rFonts w:hint="eastAsia"/>
                <w:szCs w:val="21"/>
              </w:rPr>
              <w:t>预算管理（</w:t>
            </w:r>
            <w:r>
              <w:rPr>
                <w:szCs w:val="21"/>
              </w:rPr>
              <w:t>5</w:t>
            </w:r>
            <w:r>
              <w:rPr>
                <w:rFonts w:hint="eastAsia"/>
                <w:szCs w:val="21"/>
              </w:rPr>
              <w:t>分）</w:t>
            </w:r>
          </w:p>
        </w:tc>
        <w:tc>
          <w:tcPr>
            <w:tcW w:w="423" w:type="pct"/>
            <w:tcBorders>
              <w:top w:val="nil"/>
              <w:left w:val="nil"/>
              <w:bottom w:val="single" w:color="auto" w:sz="4" w:space="0"/>
              <w:right w:val="single" w:color="auto" w:sz="4" w:space="0"/>
            </w:tcBorders>
            <w:noWrap w:val="0"/>
            <w:vAlign w:val="center"/>
          </w:tcPr>
          <w:p>
            <w:pPr>
              <w:spacing w:line="280" w:lineRule="exact"/>
              <w:jc w:val="center"/>
              <w:rPr>
                <w:szCs w:val="21"/>
              </w:rPr>
            </w:pPr>
            <w:r>
              <w:rPr>
                <w:rFonts w:hint="eastAsia"/>
                <w:szCs w:val="21"/>
              </w:rPr>
              <w:t>管理制度健全性（</w:t>
            </w:r>
            <w:r>
              <w:rPr>
                <w:szCs w:val="21"/>
              </w:rPr>
              <w:t>2</w:t>
            </w:r>
            <w:r>
              <w:rPr>
                <w:rFonts w:hint="eastAsia"/>
                <w:szCs w:val="21"/>
              </w:rPr>
              <w:t>分）</w:t>
            </w:r>
          </w:p>
        </w:tc>
        <w:tc>
          <w:tcPr>
            <w:tcW w:w="1166" w:type="pct"/>
            <w:tcBorders>
              <w:top w:val="nil"/>
              <w:left w:val="nil"/>
              <w:bottom w:val="single" w:color="auto" w:sz="4" w:space="0"/>
              <w:right w:val="single" w:color="auto" w:sz="4" w:space="0"/>
            </w:tcBorders>
            <w:noWrap w:val="0"/>
            <w:vAlign w:val="center"/>
          </w:tcPr>
          <w:p>
            <w:pPr>
              <w:spacing w:line="280" w:lineRule="exact"/>
              <w:rPr>
                <w:szCs w:val="21"/>
              </w:rPr>
            </w:pPr>
            <w:r>
              <w:rPr>
                <w:rFonts w:hint="eastAsia"/>
                <w:szCs w:val="21"/>
              </w:rPr>
              <w:t>部门（单位）为加强预算管理、规范财务行为而制定的管理制度是否健全完整，用以反映和考核部门（单位）预算管理制度对完成主要职责或促进事业发展的保障情况。</w:t>
            </w:r>
          </w:p>
        </w:tc>
        <w:tc>
          <w:tcPr>
            <w:tcW w:w="1530" w:type="pct"/>
            <w:tcBorders>
              <w:top w:val="nil"/>
              <w:left w:val="nil"/>
              <w:bottom w:val="single" w:color="auto" w:sz="4" w:space="0"/>
              <w:right w:val="single" w:color="auto" w:sz="4" w:space="0"/>
            </w:tcBorders>
            <w:noWrap w:val="0"/>
            <w:vAlign w:val="center"/>
          </w:tcPr>
          <w:p>
            <w:pPr>
              <w:spacing w:line="280" w:lineRule="exact"/>
              <w:rPr>
                <w:szCs w:val="21"/>
              </w:rPr>
            </w:pPr>
            <w:r>
              <w:rPr>
                <w:rFonts w:hint="eastAsia"/>
                <w:szCs w:val="21"/>
              </w:rPr>
              <w:t>①是否已制定或具有预算资金管理办法、内部财务管理制度、会计核算制度等管理制度；（</w:t>
            </w:r>
            <w:r>
              <w:rPr>
                <w:szCs w:val="21"/>
              </w:rPr>
              <w:t>1</w:t>
            </w:r>
            <w:r>
              <w:rPr>
                <w:rFonts w:hint="eastAsia"/>
                <w:szCs w:val="21"/>
              </w:rPr>
              <w:t>分）</w:t>
            </w:r>
          </w:p>
          <w:p>
            <w:pPr>
              <w:spacing w:line="280" w:lineRule="exact"/>
              <w:rPr>
                <w:szCs w:val="21"/>
              </w:rPr>
            </w:pPr>
            <w:r>
              <w:rPr>
                <w:rFonts w:hint="eastAsia"/>
                <w:szCs w:val="21"/>
              </w:rPr>
              <w:t>②相关管理制度是否合法、合规、完整；（</w:t>
            </w:r>
            <w:r>
              <w:rPr>
                <w:szCs w:val="21"/>
              </w:rPr>
              <w:t>0.5</w:t>
            </w:r>
            <w:r>
              <w:rPr>
                <w:rFonts w:hint="eastAsia"/>
                <w:szCs w:val="21"/>
              </w:rPr>
              <w:t>分）</w:t>
            </w:r>
          </w:p>
          <w:p>
            <w:pPr>
              <w:spacing w:line="280" w:lineRule="exact"/>
              <w:rPr>
                <w:szCs w:val="21"/>
              </w:rPr>
            </w:pPr>
            <w:r>
              <w:rPr>
                <w:rFonts w:hint="eastAsia"/>
                <w:szCs w:val="21"/>
              </w:rPr>
              <w:t>③相关管理制度是否得到有效执行。（</w:t>
            </w:r>
            <w:r>
              <w:rPr>
                <w:szCs w:val="21"/>
              </w:rPr>
              <w:t>0.5</w:t>
            </w:r>
            <w:r>
              <w:rPr>
                <w:rFonts w:hint="eastAsia"/>
                <w:szCs w:val="21"/>
              </w:rPr>
              <w:t>分）</w:t>
            </w:r>
          </w:p>
        </w:tc>
        <w:tc>
          <w:tcPr>
            <w:tcW w:w="365" w:type="pct"/>
            <w:tcBorders>
              <w:top w:val="nil"/>
              <w:left w:val="nil"/>
              <w:bottom w:val="single" w:color="auto" w:sz="4" w:space="0"/>
              <w:right w:val="single" w:color="auto" w:sz="4" w:space="0"/>
            </w:tcBorders>
            <w:noWrap/>
            <w:vAlign w:val="center"/>
          </w:tcPr>
          <w:p>
            <w:pPr>
              <w:spacing w:line="280" w:lineRule="exact"/>
              <w:jc w:val="center"/>
              <w:rPr>
                <w:rFonts w:hint="eastAsia" w:eastAsia="宋体"/>
                <w:szCs w:val="21"/>
                <w:lang w:val="en-US" w:eastAsia="zh-CN"/>
              </w:rPr>
            </w:pPr>
            <w:r>
              <w:rPr>
                <w:rFonts w:hint="eastAsia"/>
                <w:szCs w:val="21"/>
                <w:lang w:val="en-US" w:eastAsia="zh-CN"/>
              </w:rPr>
              <w:t>2</w:t>
            </w:r>
          </w:p>
        </w:tc>
        <w:tc>
          <w:tcPr>
            <w:tcW w:w="472" w:type="pct"/>
            <w:tcBorders>
              <w:top w:val="nil"/>
              <w:left w:val="nil"/>
              <w:bottom w:val="single" w:color="auto" w:sz="4" w:space="0"/>
              <w:right w:val="single" w:color="auto" w:sz="12" w:space="0"/>
            </w:tcBorders>
            <w:noWrap/>
            <w:vAlign w:val="center"/>
          </w:tcPr>
          <w:p>
            <w:pPr>
              <w:spacing w:line="280" w:lineRule="exact"/>
              <w:jc w:val="center"/>
              <w:rPr>
                <w:szCs w:val="21"/>
              </w:rPr>
            </w:pPr>
            <w:r>
              <w:rPr>
                <w:rFonts w:hint="eastAsia"/>
                <w:szCs w:val="21"/>
                <w:lang w:eastAsia="zh-CN"/>
              </w:rPr>
              <w:t>符合要求</w:t>
            </w:r>
          </w:p>
        </w:tc>
      </w:tr>
      <w:tr>
        <w:tblPrEx>
          <w:tblCellMar>
            <w:top w:w="0" w:type="dxa"/>
            <w:left w:w="28" w:type="dxa"/>
            <w:bottom w:w="0" w:type="dxa"/>
            <w:right w:w="28" w:type="dxa"/>
          </w:tblCellMar>
        </w:tblPrEx>
        <w:trPr>
          <w:trHeight w:val="2334" w:hRule="atLeast"/>
          <w:jc w:val="center"/>
        </w:trPr>
        <w:tc>
          <w:tcPr>
            <w:tcW w:w="776" w:type="pct"/>
            <w:vMerge w:val="continue"/>
            <w:tcBorders>
              <w:left w:val="single" w:color="auto" w:sz="12" w:space="0"/>
              <w:bottom w:val="single" w:color="000000" w:sz="4" w:space="0"/>
              <w:right w:val="single" w:color="auto" w:sz="4" w:space="0"/>
            </w:tcBorders>
            <w:noWrap w:val="0"/>
            <w:vAlign w:val="center"/>
          </w:tcPr>
          <w:p>
            <w:pPr>
              <w:spacing w:line="280" w:lineRule="exact"/>
              <w:jc w:val="center"/>
              <w:rPr>
                <w:szCs w:val="21"/>
              </w:rPr>
            </w:pPr>
          </w:p>
        </w:tc>
        <w:tc>
          <w:tcPr>
            <w:tcW w:w="264" w:type="pct"/>
            <w:vMerge w:val="continue"/>
            <w:tcBorders>
              <w:left w:val="single" w:color="auto" w:sz="4" w:space="0"/>
              <w:bottom w:val="single" w:color="auto" w:sz="4" w:space="0"/>
              <w:right w:val="single" w:color="auto" w:sz="4" w:space="0"/>
            </w:tcBorders>
            <w:noWrap w:val="0"/>
            <w:vAlign w:val="center"/>
          </w:tcPr>
          <w:p>
            <w:pPr>
              <w:spacing w:line="280" w:lineRule="exact"/>
              <w:jc w:val="center"/>
              <w:rPr>
                <w:szCs w:val="21"/>
              </w:rPr>
            </w:pPr>
          </w:p>
        </w:tc>
        <w:tc>
          <w:tcPr>
            <w:tcW w:w="423" w:type="pct"/>
            <w:tcBorders>
              <w:top w:val="nil"/>
              <w:left w:val="nil"/>
              <w:bottom w:val="single" w:color="auto" w:sz="4" w:space="0"/>
              <w:right w:val="single" w:color="auto" w:sz="4" w:space="0"/>
            </w:tcBorders>
            <w:noWrap w:val="0"/>
            <w:vAlign w:val="center"/>
          </w:tcPr>
          <w:p>
            <w:pPr>
              <w:spacing w:line="280" w:lineRule="exact"/>
              <w:jc w:val="center"/>
              <w:rPr>
                <w:szCs w:val="21"/>
              </w:rPr>
            </w:pPr>
            <w:r>
              <w:rPr>
                <w:rFonts w:hint="eastAsia"/>
                <w:szCs w:val="21"/>
              </w:rPr>
              <w:t>资金使用合规性（</w:t>
            </w:r>
            <w:r>
              <w:rPr>
                <w:szCs w:val="21"/>
              </w:rPr>
              <w:t>1</w:t>
            </w:r>
            <w:r>
              <w:rPr>
                <w:rFonts w:hint="eastAsia"/>
                <w:szCs w:val="21"/>
              </w:rPr>
              <w:t>分）</w:t>
            </w:r>
          </w:p>
        </w:tc>
        <w:tc>
          <w:tcPr>
            <w:tcW w:w="1166" w:type="pct"/>
            <w:tcBorders>
              <w:top w:val="nil"/>
              <w:left w:val="nil"/>
              <w:bottom w:val="single" w:color="auto" w:sz="4" w:space="0"/>
              <w:right w:val="single" w:color="auto" w:sz="4" w:space="0"/>
            </w:tcBorders>
            <w:noWrap w:val="0"/>
            <w:vAlign w:val="center"/>
          </w:tcPr>
          <w:p>
            <w:pPr>
              <w:spacing w:line="280" w:lineRule="exact"/>
              <w:rPr>
                <w:szCs w:val="21"/>
              </w:rPr>
            </w:pPr>
            <w:r>
              <w:rPr>
                <w:rFonts w:hint="eastAsia"/>
                <w:szCs w:val="21"/>
              </w:rPr>
              <w:t>部门（单位）使用预算资金是否符合相关的预算财务管理制度的规定，用以反映和考核部门（单位）预算资金的规范运行情况。</w:t>
            </w:r>
          </w:p>
        </w:tc>
        <w:tc>
          <w:tcPr>
            <w:tcW w:w="1530" w:type="pct"/>
            <w:tcBorders>
              <w:top w:val="nil"/>
              <w:left w:val="nil"/>
              <w:bottom w:val="single" w:color="auto" w:sz="4" w:space="0"/>
              <w:right w:val="single" w:color="auto" w:sz="4" w:space="0"/>
            </w:tcBorders>
            <w:noWrap w:val="0"/>
            <w:vAlign w:val="center"/>
          </w:tcPr>
          <w:p>
            <w:pPr>
              <w:spacing w:line="280" w:lineRule="exact"/>
              <w:rPr>
                <w:szCs w:val="21"/>
              </w:rPr>
            </w:pPr>
            <w:r>
              <w:rPr>
                <w:rFonts w:hint="eastAsia"/>
                <w:szCs w:val="21"/>
              </w:rPr>
              <w:t>①是否符合国家财经法规和财务管理制度规定以及有关专项资金管理办法的规定；（</w:t>
            </w:r>
            <w:r>
              <w:rPr>
                <w:szCs w:val="21"/>
              </w:rPr>
              <w:t>0.2</w:t>
            </w:r>
            <w:r>
              <w:rPr>
                <w:rFonts w:hint="eastAsia"/>
                <w:szCs w:val="21"/>
              </w:rPr>
              <w:t>分）</w:t>
            </w:r>
          </w:p>
          <w:p>
            <w:pPr>
              <w:spacing w:line="280" w:lineRule="exact"/>
              <w:rPr>
                <w:szCs w:val="21"/>
              </w:rPr>
            </w:pPr>
            <w:r>
              <w:rPr>
                <w:rFonts w:hint="eastAsia"/>
                <w:szCs w:val="21"/>
              </w:rPr>
              <w:t>②资金的拨付是否有完整的审批程序和手续；（</w:t>
            </w:r>
            <w:r>
              <w:rPr>
                <w:szCs w:val="21"/>
              </w:rPr>
              <w:t>0.2</w:t>
            </w:r>
            <w:r>
              <w:rPr>
                <w:rFonts w:hint="eastAsia"/>
                <w:szCs w:val="21"/>
              </w:rPr>
              <w:t>分）</w:t>
            </w:r>
          </w:p>
          <w:p>
            <w:pPr>
              <w:spacing w:line="280" w:lineRule="exact"/>
              <w:rPr>
                <w:szCs w:val="21"/>
              </w:rPr>
            </w:pPr>
            <w:r>
              <w:rPr>
                <w:rFonts w:hint="eastAsia"/>
                <w:szCs w:val="21"/>
              </w:rPr>
              <w:t>③项目的重大开支是否经过评估论证；（</w:t>
            </w:r>
            <w:r>
              <w:rPr>
                <w:szCs w:val="21"/>
              </w:rPr>
              <w:t>0.2</w:t>
            </w:r>
            <w:r>
              <w:rPr>
                <w:rFonts w:hint="eastAsia"/>
                <w:szCs w:val="21"/>
              </w:rPr>
              <w:t>分）</w:t>
            </w:r>
          </w:p>
          <w:p>
            <w:pPr>
              <w:spacing w:line="280" w:lineRule="exact"/>
              <w:rPr>
                <w:szCs w:val="21"/>
              </w:rPr>
            </w:pPr>
            <w:r>
              <w:rPr>
                <w:rFonts w:hint="eastAsia"/>
                <w:szCs w:val="21"/>
              </w:rPr>
              <w:t>④是否符合部门预算批复的用途；（</w:t>
            </w:r>
            <w:r>
              <w:rPr>
                <w:szCs w:val="21"/>
              </w:rPr>
              <w:t>0.2</w:t>
            </w:r>
            <w:r>
              <w:rPr>
                <w:rFonts w:hint="eastAsia"/>
                <w:szCs w:val="21"/>
              </w:rPr>
              <w:t>分）</w:t>
            </w:r>
          </w:p>
          <w:p>
            <w:pPr>
              <w:spacing w:line="280" w:lineRule="exact"/>
              <w:rPr>
                <w:szCs w:val="21"/>
              </w:rPr>
            </w:pPr>
            <w:r>
              <w:rPr>
                <w:rFonts w:hint="eastAsia"/>
                <w:szCs w:val="21"/>
              </w:rPr>
              <w:t>⑤是否存在截留、挤占、挪用、虚列支出等情况。（</w:t>
            </w:r>
            <w:r>
              <w:rPr>
                <w:szCs w:val="21"/>
              </w:rPr>
              <w:t>0.2</w:t>
            </w:r>
            <w:r>
              <w:rPr>
                <w:rFonts w:hint="eastAsia"/>
                <w:szCs w:val="21"/>
              </w:rPr>
              <w:t>分）</w:t>
            </w:r>
          </w:p>
        </w:tc>
        <w:tc>
          <w:tcPr>
            <w:tcW w:w="365" w:type="pct"/>
            <w:tcBorders>
              <w:top w:val="nil"/>
              <w:left w:val="nil"/>
              <w:bottom w:val="single" w:color="auto" w:sz="4" w:space="0"/>
              <w:right w:val="single" w:color="auto" w:sz="4" w:space="0"/>
            </w:tcBorders>
            <w:noWrap/>
            <w:vAlign w:val="center"/>
          </w:tcPr>
          <w:p>
            <w:pPr>
              <w:spacing w:line="280" w:lineRule="exact"/>
              <w:jc w:val="center"/>
              <w:rPr>
                <w:rFonts w:hint="eastAsia" w:eastAsia="宋体"/>
                <w:szCs w:val="21"/>
                <w:lang w:val="en-US" w:eastAsia="zh-CN"/>
              </w:rPr>
            </w:pPr>
            <w:r>
              <w:rPr>
                <w:rFonts w:hint="eastAsia"/>
                <w:szCs w:val="21"/>
                <w:lang w:val="en-US" w:eastAsia="zh-CN"/>
              </w:rPr>
              <w:t>1</w:t>
            </w:r>
          </w:p>
        </w:tc>
        <w:tc>
          <w:tcPr>
            <w:tcW w:w="472" w:type="pct"/>
            <w:tcBorders>
              <w:top w:val="nil"/>
              <w:left w:val="nil"/>
              <w:bottom w:val="single" w:color="auto" w:sz="4" w:space="0"/>
              <w:right w:val="single" w:color="auto" w:sz="12" w:space="0"/>
            </w:tcBorders>
            <w:noWrap/>
            <w:vAlign w:val="center"/>
          </w:tcPr>
          <w:p>
            <w:pPr>
              <w:spacing w:line="280" w:lineRule="exact"/>
              <w:jc w:val="center"/>
              <w:rPr>
                <w:szCs w:val="21"/>
              </w:rPr>
            </w:pPr>
            <w:r>
              <w:rPr>
                <w:rFonts w:hint="eastAsia"/>
                <w:szCs w:val="21"/>
                <w:lang w:eastAsia="zh-CN"/>
              </w:rPr>
              <w:t>符合要求</w:t>
            </w:r>
          </w:p>
        </w:tc>
      </w:tr>
      <w:tr>
        <w:tblPrEx>
          <w:tblCellMar>
            <w:top w:w="0" w:type="dxa"/>
            <w:left w:w="28" w:type="dxa"/>
            <w:bottom w:w="0" w:type="dxa"/>
            <w:right w:w="28" w:type="dxa"/>
          </w:tblCellMar>
        </w:tblPrEx>
        <w:trPr>
          <w:trHeight w:val="1644" w:hRule="atLeast"/>
          <w:jc w:val="center"/>
        </w:trPr>
        <w:tc>
          <w:tcPr>
            <w:tcW w:w="776" w:type="pct"/>
            <w:vMerge w:val="restart"/>
            <w:tcBorders>
              <w:top w:val="nil"/>
              <w:left w:val="single" w:color="auto" w:sz="12" w:space="0"/>
              <w:right w:val="single" w:color="auto" w:sz="4" w:space="0"/>
            </w:tcBorders>
            <w:noWrap w:val="0"/>
            <w:vAlign w:val="center"/>
          </w:tcPr>
          <w:p>
            <w:pPr>
              <w:spacing w:line="260" w:lineRule="exact"/>
              <w:jc w:val="center"/>
              <w:rPr>
                <w:szCs w:val="21"/>
              </w:rPr>
            </w:pPr>
            <w:r>
              <w:rPr>
                <w:rFonts w:hint="eastAsia"/>
                <w:szCs w:val="21"/>
              </w:rPr>
              <w:t>过程（</w:t>
            </w:r>
            <w:r>
              <w:rPr>
                <w:szCs w:val="21"/>
              </w:rPr>
              <w:t>30</w:t>
            </w:r>
            <w:r>
              <w:rPr>
                <w:rFonts w:hint="eastAsia"/>
                <w:szCs w:val="21"/>
              </w:rPr>
              <w:t>分）</w:t>
            </w:r>
          </w:p>
        </w:tc>
        <w:tc>
          <w:tcPr>
            <w:tcW w:w="264" w:type="pct"/>
            <w:vMerge w:val="restart"/>
            <w:tcBorders>
              <w:top w:val="nil"/>
              <w:left w:val="single" w:color="auto" w:sz="4" w:space="0"/>
              <w:right w:val="single" w:color="auto" w:sz="4" w:space="0"/>
            </w:tcBorders>
            <w:noWrap w:val="0"/>
            <w:vAlign w:val="center"/>
          </w:tcPr>
          <w:p>
            <w:pPr>
              <w:spacing w:line="280" w:lineRule="exact"/>
              <w:jc w:val="center"/>
              <w:rPr>
                <w:szCs w:val="21"/>
              </w:rPr>
            </w:pPr>
            <w:r>
              <w:rPr>
                <w:rFonts w:hint="eastAsia"/>
                <w:szCs w:val="21"/>
              </w:rPr>
              <w:t>预算管理（</w:t>
            </w:r>
            <w:r>
              <w:rPr>
                <w:szCs w:val="21"/>
              </w:rPr>
              <w:t>5</w:t>
            </w:r>
            <w:r>
              <w:rPr>
                <w:rFonts w:hint="eastAsia"/>
                <w:szCs w:val="21"/>
              </w:rPr>
              <w:t>分）</w:t>
            </w:r>
          </w:p>
        </w:tc>
        <w:tc>
          <w:tcPr>
            <w:tcW w:w="423" w:type="pct"/>
            <w:tcBorders>
              <w:top w:val="nil"/>
              <w:left w:val="nil"/>
              <w:bottom w:val="single" w:color="auto" w:sz="4" w:space="0"/>
              <w:right w:val="single" w:color="auto" w:sz="4" w:space="0"/>
            </w:tcBorders>
            <w:noWrap w:val="0"/>
            <w:vAlign w:val="center"/>
          </w:tcPr>
          <w:p>
            <w:pPr>
              <w:spacing w:line="350" w:lineRule="exact"/>
              <w:jc w:val="center"/>
              <w:rPr>
                <w:szCs w:val="21"/>
              </w:rPr>
            </w:pPr>
            <w:r>
              <w:rPr>
                <w:rFonts w:hint="eastAsia"/>
                <w:szCs w:val="21"/>
              </w:rPr>
              <w:t>预决算信息公开性（</w:t>
            </w:r>
            <w:r>
              <w:rPr>
                <w:szCs w:val="21"/>
              </w:rPr>
              <w:t>1</w:t>
            </w:r>
            <w:r>
              <w:rPr>
                <w:rFonts w:hint="eastAsia"/>
                <w:szCs w:val="21"/>
              </w:rPr>
              <w:t>分）</w:t>
            </w:r>
          </w:p>
        </w:tc>
        <w:tc>
          <w:tcPr>
            <w:tcW w:w="1166" w:type="pct"/>
            <w:tcBorders>
              <w:top w:val="nil"/>
              <w:left w:val="nil"/>
              <w:bottom w:val="single" w:color="auto" w:sz="4" w:space="0"/>
              <w:right w:val="single" w:color="auto" w:sz="4" w:space="0"/>
            </w:tcBorders>
            <w:noWrap w:val="0"/>
            <w:vAlign w:val="center"/>
          </w:tcPr>
          <w:p>
            <w:pPr>
              <w:spacing w:line="350" w:lineRule="exact"/>
              <w:rPr>
                <w:szCs w:val="21"/>
              </w:rPr>
            </w:pPr>
            <w:r>
              <w:rPr>
                <w:rFonts w:hint="eastAsia"/>
                <w:szCs w:val="21"/>
              </w:rPr>
              <w:t>部门（单位）是否按照政府信息公开有关规定公开相关预决算信息，用以反映和考核部门（单位）预决算管理的公开透明情况。</w:t>
            </w:r>
          </w:p>
        </w:tc>
        <w:tc>
          <w:tcPr>
            <w:tcW w:w="1530" w:type="pct"/>
            <w:tcBorders>
              <w:top w:val="nil"/>
              <w:left w:val="nil"/>
              <w:bottom w:val="single" w:color="auto" w:sz="4" w:space="0"/>
              <w:right w:val="single" w:color="auto" w:sz="4" w:space="0"/>
            </w:tcBorders>
            <w:noWrap w:val="0"/>
            <w:vAlign w:val="center"/>
          </w:tcPr>
          <w:p>
            <w:pPr>
              <w:spacing w:line="350" w:lineRule="exact"/>
              <w:rPr>
                <w:szCs w:val="21"/>
              </w:rPr>
            </w:pPr>
            <w:r>
              <w:rPr>
                <w:rFonts w:hint="eastAsia"/>
                <w:szCs w:val="21"/>
              </w:rPr>
              <w:t>①是否按规定内容公开预决算信息；（</w:t>
            </w:r>
            <w:r>
              <w:rPr>
                <w:szCs w:val="21"/>
              </w:rPr>
              <w:t>0.5</w:t>
            </w:r>
            <w:r>
              <w:rPr>
                <w:rFonts w:hint="eastAsia"/>
                <w:szCs w:val="21"/>
              </w:rPr>
              <w:t>分）</w:t>
            </w:r>
          </w:p>
          <w:p>
            <w:pPr>
              <w:spacing w:line="350" w:lineRule="exact"/>
              <w:rPr>
                <w:szCs w:val="21"/>
              </w:rPr>
            </w:pPr>
            <w:r>
              <w:rPr>
                <w:rFonts w:hint="eastAsia"/>
                <w:szCs w:val="21"/>
              </w:rPr>
              <w:t>②是否按规定时限公开预决算信息。（</w:t>
            </w:r>
            <w:r>
              <w:rPr>
                <w:szCs w:val="21"/>
              </w:rPr>
              <w:t>0.5</w:t>
            </w:r>
            <w:r>
              <w:rPr>
                <w:rFonts w:hint="eastAsia"/>
                <w:szCs w:val="21"/>
              </w:rPr>
              <w:t>分）</w:t>
            </w:r>
          </w:p>
          <w:p>
            <w:pPr>
              <w:spacing w:line="350" w:lineRule="exact"/>
              <w:rPr>
                <w:szCs w:val="21"/>
              </w:rPr>
            </w:pPr>
            <w:r>
              <w:rPr>
                <w:rFonts w:hint="eastAsia"/>
                <w:szCs w:val="21"/>
              </w:rPr>
              <w:t>预决算信息是指与部门预算、执行、决算、监督、绩效等管理相关的信息。</w:t>
            </w:r>
          </w:p>
        </w:tc>
        <w:tc>
          <w:tcPr>
            <w:tcW w:w="365" w:type="pct"/>
            <w:tcBorders>
              <w:top w:val="nil"/>
              <w:left w:val="nil"/>
              <w:bottom w:val="single" w:color="auto" w:sz="4" w:space="0"/>
              <w:right w:val="single" w:color="auto" w:sz="4" w:space="0"/>
            </w:tcBorders>
            <w:noWrap/>
            <w:vAlign w:val="center"/>
          </w:tcPr>
          <w:p>
            <w:pPr>
              <w:spacing w:line="350" w:lineRule="exact"/>
              <w:jc w:val="center"/>
              <w:rPr>
                <w:rFonts w:hint="eastAsia" w:eastAsia="宋体"/>
                <w:szCs w:val="21"/>
                <w:lang w:val="en-US" w:eastAsia="zh-CN"/>
              </w:rPr>
            </w:pPr>
            <w:r>
              <w:rPr>
                <w:rFonts w:hint="eastAsia"/>
                <w:szCs w:val="21"/>
                <w:lang w:val="en-US" w:eastAsia="zh-CN"/>
              </w:rPr>
              <w:t>1</w:t>
            </w:r>
          </w:p>
        </w:tc>
        <w:tc>
          <w:tcPr>
            <w:tcW w:w="472" w:type="pct"/>
            <w:tcBorders>
              <w:top w:val="nil"/>
              <w:left w:val="nil"/>
              <w:bottom w:val="single" w:color="auto" w:sz="4" w:space="0"/>
              <w:right w:val="single" w:color="auto" w:sz="12" w:space="0"/>
            </w:tcBorders>
            <w:noWrap/>
            <w:vAlign w:val="center"/>
          </w:tcPr>
          <w:p>
            <w:pPr>
              <w:spacing w:line="350" w:lineRule="exact"/>
              <w:jc w:val="center"/>
              <w:rPr>
                <w:szCs w:val="21"/>
              </w:rPr>
            </w:pPr>
            <w:r>
              <w:rPr>
                <w:rFonts w:hint="eastAsia"/>
                <w:szCs w:val="21"/>
                <w:lang w:eastAsia="zh-CN"/>
              </w:rPr>
              <w:t>符合要求</w:t>
            </w:r>
          </w:p>
        </w:tc>
      </w:tr>
      <w:tr>
        <w:tblPrEx>
          <w:tblCellMar>
            <w:top w:w="0" w:type="dxa"/>
            <w:left w:w="28" w:type="dxa"/>
            <w:bottom w:w="0" w:type="dxa"/>
            <w:right w:w="28" w:type="dxa"/>
          </w:tblCellMar>
        </w:tblPrEx>
        <w:trPr>
          <w:trHeight w:val="453" w:hRule="atLeast"/>
          <w:jc w:val="center"/>
        </w:trPr>
        <w:tc>
          <w:tcPr>
            <w:tcW w:w="776" w:type="pct"/>
            <w:vMerge w:val="continue"/>
            <w:tcBorders>
              <w:left w:val="single" w:color="auto" w:sz="12" w:space="0"/>
              <w:right w:val="single" w:color="auto" w:sz="4" w:space="0"/>
            </w:tcBorders>
            <w:noWrap w:val="0"/>
            <w:vAlign w:val="center"/>
          </w:tcPr>
          <w:p>
            <w:pPr>
              <w:spacing w:line="350" w:lineRule="exact"/>
              <w:jc w:val="center"/>
              <w:rPr>
                <w:szCs w:val="21"/>
              </w:rPr>
            </w:pPr>
          </w:p>
        </w:tc>
        <w:tc>
          <w:tcPr>
            <w:tcW w:w="264" w:type="pct"/>
            <w:vMerge w:val="continue"/>
            <w:tcBorders>
              <w:left w:val="single" w:color="auto" w:sz="4" w:space="0"/>
              <w:bottom w:val="single" w:color="auto" w:sz="4" w:space="0"/>
              <w:right w:val="single" w:color="auto" w:sz="4" w:space="0"/>
            </w:tcBorders>
            <w:noWrap w:val="0"/>
            <w:vAlign w:val="center"/>
          </w:tcPr>
          <w:p>
            <w:pPr>
              <w:spacing w:line="350" w:lineRule="exact"/>
              <w:jc w:val="center"/>
              <w:rPr>
                <w:szCs w:val="21"/>
              </w:rPr>
            </w:pPr>
          </w:p>
        </w:tc>
        <w:tc>
          <w:tcPr>
            <w:tcW w:w="423" w:type="pct"/>
            <w:tcBorders>
              <w:top w:val="nil"/>
              <w:left w:val="nil"/>
              <w:bottom w:val="single" w:color="auto" w:sz="4" w:space="0"/>
              <w:right w:val="single" w:color="auto" w:sz="4" w:space="0"/>
            </w:tcBorders>
            <w:noWrap w:val="0"/>
            <w:vAlign w:val="center"/>
          </w:tcPr>
          <w:p>
            <w:pPr>
              <w:spacing w:line="350" w:lineRule="exact"/>
              <w:jc w:val="center"/>
              <w:rPr>
                <w:szCs w:val="21"/>
              </w:rPr>
            </w:pPr>
            <w:r>
              <w:rPr>
                <w:rFonts w:hint="eastAsia"/>
                <w:szCs w:val="21"/>
              </w:rPr>
              <w:t>基础信息完善性（</w:t>
            </w:r>
            <w:r>
              <w:rPr>
                <w:szCs w:val="21"/>
              </w:rPr>
              <w:t>1</w:t>
            </w:r>
            <w:r>
              <w:rPr>
                <w:rFonts w:hint="eastAsia"/>
                <w:szCs w:val="21"/>
              </w:rPr>
              <w:t>分）</w:t>
            </w:r>
          </w:p>
        </w:tc>
        <w:tc>
          <w:tcPr>
            <w:tcW w:w="1166" w:type="pct"/>
            <w:tcBorders>
              <w:top w:val="nil"/>
              <w:left w:val="nil"/>
              <w:bottom w:val="single" w:color="auto" w:sz="4" w:space="0"/>
              <w:right w:val="single" w:color="auto" w:sz="4" w:space="0"/>
            </w:tcBorders>
            <w:noWrap w:val="0"/>
            <w:vAlign w:val="center"/>
          </w:tcPr>
          <w:p>
            <w:pPr>
              <w:spacing w:line="350" w:lineRule="exact"/>
              <w:rPr>
                <w:szCs w:val="21"/>
              </w:rPr>
            </w:pPr>
            <w:r>
              <w:rPr>
                <w:rFonts w:hint="eastAsia"/>
                <w:szCs w:val="21"/>
              </w:rPr>
              <w:t>部门（单位）基础信息是否完善，用以反映和考核基础信息对预算管理工作的支撑情况。</w:t>
            </w:r>
          </w:p>
        </w:tc>
        <w:tc>
          <w:tcPr>
            <w:tcW w:w="1530" w:type="pct"/>
            <w:tcBorders>
              <w:top w:val="nil"/>
              <w:left w:val="nil"/>
              <w:bottom w:val="single" w:color="auto" w:sz="4" w:space="0"/>
              <w:right w:val="single" w:color="auto" w:sz="4" w:space="0"/>
            </w:tcBorders>
            <w:noWrap w:val="0"/>
            <w:vAlign w:val="center"/>
          </w:tcPr>
          <w:p>
            <w:pPr>
              <w:spacing w:line="350" w:lineRule="exact"/>
              <w:rPr>
                <w:szCs w:val="21"/>
              </w:rPr>
            </w:pPr>
            <w:r>
              <w:rPr>
                <w:rFonts w:hint="eastAsia"/>
                <w:szCs w:val="21"/>
              </w:rPr>
              <w:t>①基础数据信息和会计信息资料是否真实；（</w:t>
            </w:r>
            <w:r>
              <w:rPr>
                <w:szCs w:val="21"/>
              </w:rPr>
              <w:t>0.4</w:t>
            </w:r>
            <w:r>
              <w:rPr>
                <w:rFonts w:hint="eastAsia"/>
                <w:szCs w:val="21"/>
              </w:rPr>
              <w:t>分）</w:t>
            </w:r>
          </w:p>
          <w:p>
            <w:pPr>
              <w:spacing w:line="350" w:lineRule="exact"/>
              <w:rPr>
                <w:szCs w:val="21"/>
              </w:rPr>
            </w:pPr>
            <w:r>
              <w:rPr>
                <w:rFonts w:hint="eastAsia"/>
                <w:szCs w:val="21"/>
              </w:rPr>
              <w:t>②基础数据信息和会计信息资料是否完整；（</w:t>
            </w:r>
            <w:r>
              <w:rPr>
                <w:szCs w:val="21"/>
              </w:rPr>
              <w:t>0.3</w:t>
            </w:r>
            <w:r>
              <w:rPr>
                <w:rFonts w:hint="eastAsia"/>
                <w:szCs w:val="21"/>
              </w:rPr>
              <w:t>分）</w:t>
            </w:r>
          </w:p>
          <w:p>
            <w:pPr>
              <w:spacing w:line="350" w:lineRule="exact"/>
              <w:rPr>
                <w:szCs w:val="21"/>
              </w:rPr>
            </w:pPr>
            <w:r>
              <w:rPr>
                <w:rFonts w:hint="eastAsia"/>
                <w:szCs w:val="21"/>
              </w:rPr>
              <w:t>③基础数据信息和会计信息资料是否准确。（</w:t>
            </w:r>
            <w:r>
              <w:rPr>
                <w:szCs w:val="21"/>
              </w:rPr>
              <w:t>0.3</w:t>
            </w:r>
            <w:r>
              <w:rPr>
                <w:rFonts w:hint="eastAsia"/>
                <w:szCs w:val="21"/>
              </w:rPr>
              <w:t>分）</w:t>
            </w:r>
          </w:p>
        </w:tc>
        <w:tc>
          <w:tcPr>
            <w:tcW w:w="365" w:type="pct"/>
            <w:tcBorders>
              <w:top w:val="nil"/>
              <w:left w:val="nil"/>
              <w:bottom w:val="single" w:color="auto" w:sz="4" w:space="0"/>
              <w:right w:val="single" w:color="auto" w:sz="4" w:space="0"/>
            </w:tcBorders>
            <w:noWrap/>
            <w:vAlign w:val="center"/>
          </w:tcPr>
          <w:p>
            <w:pPr>
              <w:spacing w:line="350" w:lineRule="exact"/>
              <w:jc w:val="center"/>
              <w:rPr>
                <w:rFonts w:hint="eastAsia" w:eastAsia="宋体"/>
                <w:szCs w:val="21"/>
                <w:lang w:val="en-US" w:eastAsia="zh-CN"/>
              </w:rPr>
            </w:pPr>
            <w:r>
              <w:rPr>
                <w:rFonts w:hint="eastAsia"/>
                <w:szCs w:val="21"/>
                <w:lang w:val="en-US" w:eastAsia="zh-CN"/>
              </w:rPr>
              <w:t>1</w:t>
            </w:r>
          </w:p>
        </w:tc>
        <w:tc>
          <w:tcPr>
            <w:tcW w:w="472" w:type="pct"/>
            <w:tcBorders>
              <w:top w:val="nil"/>
              <w:left w:val="nil"/>
              <w:bottom w:val="single" w:color="auto" w:sz="4" w:space="0"/>
              <w:right w:val="single" w:color="auto" w:sz="12" w:space="0"/>
            </w:tcBorders>
            <w:noWrap/>
            <w:vAlign w:val="center"/>
          </w:tcPr>
          <w:p>
            <w:pPr>
              <w:spacing w:line="350" w:lineRule="exact"/>
              <w:jc w:val="center"/>
              <w:rPr>
                <w:rFonts w:hint="eastAsia" w:eastAsia="宋体"/>
                <w:szCs w:val="21"/>
                <w:lang w:val="en-US" w:eastAsia="zh-CN"/>
              </w:rPr>
            </w:pPr>
            <w:r>
              <w:rPr>
                <w:rFonts w:hint="eastAsia"/>
                <w:szCs w:val="21"/>
                <w:lang w:eastAsia="zh-CN"/>
              </w:rPr>
              <w:t>符合要求</w:t>
            </w:r>
          </w:p>
        </w:tc>
      </w:tr>
      <w:tr>
        <w:tblPrEx>
          <w:tblCellMar>
            <w:top w:w="0" w:type="dxa"/>
            <w:left w:w="28" w:type="dxa"/>
            <w:bottom w:w="0" w:type="dxa"/>
            <w:right w:w="28" w:type="dxa"/>
          </w:tblCellMar>
        </w:tblPrEx>
        <w:trPr>
          <w:trHeight w:val="1012" w:hRule="atLeast"/>
          <w:jc w:val="center"/>
        </w:trPr>
        <w:tc>
          <w:tcPr>
            <w:tcW w:w="776" w:type="pct"/>
            <w:vMerge w:val="continue"/>
            <w:tcBorders>
              <w:left w:val="single" w:color="auto" w:sz="12" w:space="0"/>
              <w:right w:val="single" w:color="auto" w:sz="4" w:space="0"/>
            </w:tcBorders>
            <w:noWrap w:val="0"/>
            <w:vAlign w:val="center"/>
          </w:tcPr>
          <w:p>
            <w:pPr>
              <w:spacing w:line="350" w:lineRule="exact"/>
              <w:jc w:val="center"/>
              <w:rPr>
                <w:szCs w:val="21"/>
              </w:rPr>
            </w:pPr>
          </w:p>
        </w:tc>
        <w:tc>
          <w:tcPr>
            <w:tcW w:w="264" w:type="pct"/>
            <w:vMerge w:val="restart"/>
            <w:tcBorders>
              <w:top w:val="nil"/>
              <w:left w:val="single" w:color="auto" w:sz="4" w:space="0"/>
              <w:bottom w:val="single" w:color="auto" w:sz="4" w:space="0"/>
              <w:right w:val="single" w:color="auto" w:sz="4" w:space="0"/>
            </w:tcBorders>
            <w:noWrap w:val="0"/>
            <w:vAlign w:val="center"/>
          </w:tcPr>
          <w:p>
            <w:pPr>
              <w:spacing w:line="350" w:lineRule="exact"/>
              <w:jc w:val="center"/>
              <w:rPr>
                <w:szCs w:val="21"/>
              </w:rPr>
            </w:pPr>
            <w:r>
              <w:rPr>
                <w:rFonts w:hint="eastAsia"/>
                <w:szCs w:val="21"/>
              </w:rPr>
              <w:t>资产管理（</w:t>
            </w:r>
            <w:r>
              <w:rPr>
                <w:szCs w:val="21"/>
              </w:rPr>
              <w:t>5</w:t>
            </w:r>
            <w:r>
              <w:rPr>
                <w:rFonts w:hint="eastAsia"/>
                <w:szCs w:val="21"/>
              </w:rPr>
              <w:t>分）</w:t>
            </w:r>
          </w:p>
        </w:tc>
        <w:tc>
          <w:tcPr>
            <w:tcW w:w="423" w:type="pct"/>
            <w:tcBorders>
              <w:top w:val="nil"/>
              <w:left w:val="nil"/>
              <w:bottom w:val="single" w:color="auto" w:sz="4" w:space="0"/>
              <w:right w:val="single" w:color="auto" w:sz="4" w:space="0"/>
            </w:tcBorders>
            <w:noWrap w:val="0"/>
            <w:vAlign w:val="center"/>
          </w:tcPr>
          <w:p>
            <w:pPr>
              <w:spacing w:line="350" w:lineRule="exact"/>
              <w:jc w:val="center"/>
              <w:rPr>
                <w:szCs w:val="21"/>
              </w:rPr>
            </w:pPr>
            <w:r>
              <w:rPr>
                <w:rFonts w:hint="eastAsia"/>
                <w:szCs w:val="21"/>
              </w:rPr>
              <w:t>管理制度健全性（</w:t>
            </w:r>
            <w:r>
              <w:rPr>
                <w:szCs w:val="21"/>
              </w:rPr>
              <w:t>2</w:t>
            </w:r>
            <w:r>
              <w:rPr>
                <w:rFonts w:hint="eastAsia"/>
                <w:szCs w:val="21"/>
              </w:rPr>
              <w:t>分）</w:t>
            </w:r>
          </w:p>
        </w:tc>
        <w:tc>
          <w:tcPr>
            <w:tcW w:w="1166" w:type="pct"/>
            <w:tcBorders>
              <w:top w:val="nil"/>
              <w:left w:val="nil"/>
              <w:bottom w:val="single" w:color="auto" w:sz="4" w:space="0"/>
              <w:right w:val="single" w:color="auto" w:sz="4" w:space="0"/>
            </w:tcBorders>
            <w:noWrap w:val="0"/>
            <w:vAlign w:val="center"/>
          </w:tcPr>
          <w:p>
            <w:pPr>
              <w:spacing w:line="350" w:lineRule="exact"/>
              <w:rPr>
                <w:szCs w:val="21"/>
              </w:rPr>
            </w:pPr>
            <w:r>
              <w:rPr>
                <w:rFonts w:hint="eastAsia"/>
                <w:szCs w:val="21"/>
              </w:rPr>
              <w:t>部门（单位）为加强资产管理、规范资产管理行为而制定的管理制度是否健全完整，用以反映和考核部门（单位）资产管理制度对完成主要职责或促进社会发展的保障情况。</w:t>
            </w:r>
          </w:p>
        </w:tc>
        <w:tc>
          <w:tcPr>
            <w:tcW w:w="1530" w:type="pct"/>
            <w:tcBorders>
              <w:top w:val="nil"/>
              <w:left w:val="nil"/>
              <w:bottom w:val="single" w:color="auto" w:sz="4" w:space="0"/>
              <w:right w:val="single" w:color="auto" w:sz="4" w:space="0"/>
            </w:tcBorders>
            <w:noWrap w:val="0"/>
            <w:vAlign w:val="center"/>
          </w:tcPr>
          <w:p>
            <w:pPr>
              <w:spacing w:line="350" w:lineRule="exact"/>
              <w:rPr>
                <w:szCs w:val="21"/>
              </w:rPr>
            </w:pPr>
            <w:r>
              <w:rPr>
                <w:rFonts w:hint="eastAsia"/>
                <w:szCs w:val="21"/>
              </w:rPr>
              <w:t>①是否已制定或具有资产管理制度；（</w:t>
            </w:r>
            <w:r>
              <w:rPr>
                <w:szCs w:val="21"/>
              </w:rPr>
              <w:t>1</w:t>
            </w:r>
            <w:r>
              <w:rPr>
                <w:rFonts w:hint="eastAsia"/>
                <w:szCs w:val="21"/>
              </w:rPr>
              <w:t>分）</w:t>
            </w:r>
          </w:p>
          <w:p>
            <w:pPr>
              <w:spacing w:line="350" w:lineRule="exact"/>
              <w:rPr>
                <w:szCs w:val="21"/>
              </w:rPr>
            </w:pPr>
            <w:r>
              <w:rPr>
                <w:rFonts w:hint="eastAsia"/>
                <w:szCs w:val="21"/>
              </w:rPr>
              <w:t>②相关资金管理制度是否合法、合规、完整；（</w:t>
            </w:r>
            <w:r>
              <w:rPr>
                <w:szCs w:val="21"/>
              </w:rPr>
              <w:t>0.5</w:t>
            </w:r>
            <w:r>
              <w:rPr>
                <w:rFonts w:hint="eastAsia"/>
                <w:szCs w:val="21"/>
              </w:rPr>
              <w:t>分）</w:t>
            </w:r>
          </w:p>
          <w:p>
            <w:pPr>
              <w:spacing w:line="350" w:lineRule="exact"/>
              <w:rPr>
                <w:szCs w:val="21"/>
              </w:rPr>
            </w:pPr>
            <w:r>
              <w:rPr>
                <w:rFonts w:hint="eastAsia"/>
                <w:szCs w:val="21"/>
              </w:rPr>
              <w:t>③相关资产管理制度是否得到有效执行。（</w:t>
            </w:r>
            <w:r>
              <w:rPr>
                <w:szCs w:val="21"/>
              </w:rPr>
              <w:t>0.5</w:t>
            </w:r>
            <w:r>
              <w:rPr>
                <w:rFonts w:hint="eastAsia"/>
                <w:szCs w:val="21"/>
              </w:rPr>
              <w:t>分）</w:t>
            </w:r>
          </w:p>
        </w:tc>
        <w:tc>
          <w:tcPr>
            <w:tcW w:w="365" w:type="pct"/>
            <w:tcBorders>
              <w:top w:val="nil"/>
              <w:left w:val="nil"/>
              <w:bottom w:val="single" w:color="auto" w:sz="4" w:space="0"/>
              <w:right w:val="single" w:color="auto" w:sz="4" w:space="0"/>
            </w:tcBorders>
            <w:noWrap/>
            <w:vAlign w:val="center"/>
          </w:tcPr>
          <w:p>
            <w:pPr>
              <w:spacing w:line="350" w:lineRule="exact"/>
              <w:jc w:val="center"/>
              <w:rPr>
                <w:rFonts w:hint="eastAsia" w:eastAsia="宋体"/>
                <w:szCs w:val="21"/>
                <w:lang w:val="en-US" w:eastAsia="zh-CN"/>
              </w:rPr>
            </w:pPr>
            <w:r>
              <w:rPr>
                <w:rFonts w:hint="eastAsia"/>
                <w:szCs w:val="21"/>
                <w:lang w:val="en-US" w:eastAsia="zh-CN"/>
              </w:rPr>
              <w:t>2</w:t>
            </w:r>
          </w:p>
        </w:tc>
        <w:tc>
          <w:tcPr>
            <w:tcW w:w="472" w:type="pct"/>
            <w:tcBorders>
              <w:top w:val="nil"/>
              <w:left w:val="nil"/>
              <w:bottom w:val="single" w:color="auto" w:sz="4" w:space="0"/>
              <w:right w:val="single" w:color="auto" w:sz="12" w:space="0"/>
            </w:tcBorders>
            <w:noWrap/>
            <w:vAlign w:val="center"/>
          </w:tcPr>
          <w:p>
            <w:pPr>
              <w:spacing w:line="350" w:lineRule="exact"/>
              <w:jc w:val="center"/>
              <w:rPr>
                <w:szCs w:val="21"/>
              </w:rPr>
            </w:pPr>
            <w:r>
              <w:rPr>
                <w:rFonts w:hint="eastAsia"/>
                <w:szCs w:val="21"/>
                <w:lang w:eastAsia="zh-CN"/>
              </w:rPr>
              <w:t>符合要求</w:t>
            </w:r>
          </w:p>
        </w:tc>
      </w:tr>
      <w:tr>
        <w:tblPrEx>
          <w:tblCellMar>
            <w:top w:w="0" w:type="dxa"/>
            <w:left w:w="28" w:type="dxa"/>
            <w:bottom w:w="0" w:type="dxa"/>
            <w:right w:w="28" w:type="dxa"/>
          </w:tblCellMar>
        </w:tblPrEx>
        <w:trPr>
          <w:trHeight w:val="660" w:hRule="atLeast"/>
          <w:jc w:val="center"/>
        </w:trPr>
        <w:tc>
          <w:tcPr>
            <w:tcW w:w="776" w:type="pct"/>
            <w:vMerge w:val="continue"/>
            <w:tcBorders>
              <w:left w:val="single" w:color="auto" w:sz="12" w:space="0"/>
              <w:right w:val="single" w:color="auto" w:sz="4" w:space="0"/>
            </w:tcBorders>
            <w:noWrap w:val="0"/>
            <w:vAlign w:val="center"/>
          </w:tcPr>
          <w:p>
            <w:pPr>
              <w:spacing w:line="350" w:lineRule="exact"/>
              <w:jc w:val="center"/>
              <w:rPr>
                <w:szCs w:val="21"/>
              </w:rPr>
            </w:pPr>
          </w:p>
        </w:tc>
        <w:tc>
          <w:tcPr>
            <w:tcW w:w="264" w:type="pct"/>
            <w:vMerge w:val="continue"/>
            <w:tcBorders>
              <w:top w:val="nil"/>
              <w:left w:val="single" w:color="auto" w:sz="4" w:space="0"/>
              <w:bottom w:val="single" w:color="auto" w:sz="4" w:space="0"/>
              <w:right w:val="single" w:color="auto" w:sz="4" w:space="0"/>
            </w:tcBorders>
            <w:noWrap w:val="0"/>
            <w:vAlign w:val="center"/>
          </w:tcPr>
          <w:p>
            <w:pPr>
              <w:spacing w:line="350" w:lineRule="exact"/>
              <w:jc w:val="center"/>
              <w:rPr>
                <w:szCs w:val="21"/>
              </w:rPr>
            </w:pPr>
          </w:p>
        </w:tc>
        <w:tc>
          <w:tcPr>
            <w:tcW w:w="423" w:type="pct"/>
            <w:tcBorders>
              <w:top w:val="nil"/>
              <w:left w:val="nil"/>
              <w:bottom w:val="single" w:color="auto" w:sz="4" w:space="0"/>
              <w:right w:val="single" w:color="auto" w:sz="4" w:space="0"/>
            </w:tcBorders>
            <w:noWrap w:val="0"/>
            <w:vAlign w:val="center"/>
          </w:tcPr>
          <w:p>
            <w:pPr>
              <w:spacing w:line="350" w:lineRule="exact"/>
              <w:jc w:val="center"/>
              <w:rPr>
                <w:szCs w:val="21"/>
              </w:rPr>
            </w:pPr>
            <w:r>
              <w:rPr>
                <w:rFonts w:hint="eastAsia"/>
                <w:szCs w:val="21"/>
              </w:rPr>
              <w:t>资产管理安全性（</w:t>
            </w:r>
            <w:r>
              <w:rPr>
                <w:szCs w:val="21"/>
              </w:rPr>
              <w:t>2</w:t>
            </w:r>
            <w:r>
              <w:rPr>
                <w:rFonts w:hint="eastAsia"/>
                <w:szCs w:val="21"/>
              </w:rPr>
              <w:t>分）</w:t>
            </w:r>
          </w:p>
        </w:tc>
        <w:tc>
          <w:tcPr>
            <w:tcW w:w="1166" w:type="pct"/>
            <w:tcBorders>
              <w:top w:val="nil"/>
              <w:left w:val="nil"/>
              <w:bottom w:val="single" w:color="auto" w:sz="4" w:space="0"/>
              <w:right w:val="single" w:color="auto" w:sz="4" w:space="0"/>
            </w:tcBorders>
            <w:noWrap w:val="0"/>
            <w:vAlign w:val="center"/>
          </w:tcPr>
          <w:p>
            <w:pPr>
              <w:spacing w:line="350" w:lineRule="exact"/>
              <w:rPr>
                <w:szCs w:val="21"/>
              </w:rPr>
            </w:pPr>
            <w:r>
              <w:rPr>
                <w:rFonts w:hint="eastAsia"/>
                <w:szCs w:val="21"/>
              </w:rPr>
              <w:t>部门（单位）的资产是否保存完整、使用合规、配置合理、处置规范、收入及时足额上缴，用以反映和考核部门（单位）资产安全运行情况。</w:t>
            </w:r>
          </w:p>
        </w:tc>
        <w:tc>
          <w:tcPr>
            <w:tcW w:w="1530" w:type="pct"/>
            <w:tcBorders>
              <w:top w:val="nil"/>
              <w:left w:val="nil"/>
              <w:bottom w:val="single" w:color="auto" w:sz="4" w:space="0"/>
              <w:right w:val="single" w:color="auto" w:sz="4" w:space="0"/>
            </w:tcBorders>
            <w:noWrap w:val="0"/>
            <w:vAlign w:val="center"/>
          </w:tcPr>
          <w:p>
            <w:pPr>
              <w:spacing w:line="350" w:lineRule="exact"/>
              <w:rPr>
                <w:szCs w:val="21"/>
              </w:rPr>
            </w:pPr>
            <w:r>
              <w:rPr>
                <w:rFonts w:hint="eastAsia"/>
                <w:szCs w:val="21"/>
              </w:rPr>
              <w:t>①资产保存是否完整；（</w:t>
            </w:r>
            <w:r>
              <w:rPr>
                <w:szCs w:val="21"/>
              </w:rPr>
              <w:t>0.4</w:t>
            </w:r>
            <w:r>
              <w:rPr>
                <w:rFonts w:hint="eastAsia"/>
                <w:szCs w:val="21"/>
              </w:rPr>
              <w:t>分）</w:t>
            </w:r>
          </w:p>
          <w:p>
            <w:pPr>
              <w:spacing w:line="350" w:lineRule="exact"/>
              <w:rPr>
                <w:szCs w:val="21"/>
              </w:rPr>
            </w:pPr>
            <w:r>
              <w:rPr>
                <w:rFonts w:hint="eastAsia"/>
                <w:szCs w:val="21"/>
              </w:rPr>
              <w:t>②资产配置是否合理；（</w:t>
            </w:r>
            <w:r>
              <w:rPr>
                <w:szCs w:val="21"/>
              </w:rPr>
              <w:t>0.4</w:t>
            </w:r>
            <w:r>
              <w:rPr>
                <w:rFonts w:hint="eastAsia"/>
                <w:szCs w:val="21"/>
              </w:rPr>
              <w:t>分）</w:t>
            </w:r>
          </w:p>
          <w:p>
            <w:pPr>
              <w:spacing w:line="350" w:lineRule="exact"/>
              <w:rPr>
                <w:szCs w:val="21"/>
              </w:rPr>
            </w:pPr>
            <w:r>
              <w:rPr>
                <w:rFonts w:hint="eastAsia"/>
                <w:szCs w:val="21"/>
              </w:rPr>
              <w:t>③资产处置是否规范；（</w:t>
            </w:r>
            <w:r>
              <w:rPr>
                <w:szCs w:val="21"/>
              </w:rPr>
              <w:t>0.4</w:t>
            </w:r>
            <w:r>
              <w:rPr>
                <w:rFonts w:hint="eastAsia"/>
                <w:szCs w:val="21"/>
              </w:rPr>
              <w:t>分）</w:t>
            </w:r>
          </w:p>
          <w:p>
            <w:pPr>
              <w:spacing w:line="350" w:lineRule="exact"/>
              <w:rPr>
                <w:szCs w:val="21"/>
              </w:rPr>
            </w:pPr>
            <w:r>
              <w:rPr>
                <w:rFonts w:hint="eastAsia"/>
                <w:szCs w:val="21"/>
              </w:rPr>
              <w:t>④资产账务管理是否合规，是否帐实相符；（</w:t>
            </w:r>
            <w:r>
              <w:rPr>
                <w:szCs w:val="21"/>
              </w:rPr>
              <w:t>0.4</w:t>
            </w:r>
            <w:r>
              <w:rPr>
                <w:rFonts w:hint="eastAsia"/>
                <w:szCs w:val="21"/>
              </w:rPr>
              <w:t>分）</w:t>
            </w:r>
          </w:p>
          <w:p>
            <w:pPr>
              <w:spacing w:line="350" w:lineRule="exact"/>
              <w:rPr>
                <w:szCs w:val="21"/>
              </w:rPr>
            </w:pPr>
            <w:r>
              <w:rPr>
                <w:rFonts w:hint="eastAsia"/>
                <w:szCs w:val="21"/>
              </w:rPr>
              <w:t>⑤资产是否有偿使用及处置收入及时足额上缴。（</w:t>
            </w:r>
            <w:r>
              <w:rPr>
                <w:szCs w:val="21"/>
              </w:rPr>
              <w:t>0.4</w:t>
            </w:r>
            <w:r>
              <w:rPr>
                <w:rFonts w:hint="eastAsia"/>
                <w:szCs w:val="21"/>
              </w:rPr>
              <w:t>分）</w:t>
            </w:r>
          </w:p>
        </w:tc>
        <w:tc>
          <w:tcPr>
            <w:tcW w:w="365" w:type="pct"/>
            <w:tcBorders>
              <w:top w:val="nil"/>
              <w:left w:val="nil"/>
              <w:bottom w:val="single" w:color="auto" w:sz="4" w:space="0"/>
              <w:right w:val="single" w:color="auto" w:sz="4" w:space="0"/>
            </w:tcBorders>
            <w:noWrap/>
            <w:vAlign w:val="center"/>
          </w:tcPr>
          <w:p>
            <w:pPr>
              <w:spacing w:line="350" w:lineRule="exact"/>
              <w:jc w:val="center"/>
              <w:rPr>
                <w:rFonts w:hint="eastAsia" w:eastAsia="宋体"/>
                <w:szCs w:val="21"/>
                <w:lang w:val="en-US" w:eastAsia="zh-CN"/>
              </w:rPr>
            </w:pPr>
            <w:r>
              <w:rPr>
                <w:rFonts w:hint="eastAsia"/>
                <w:szCs w:val="21"/>
                <w:lang w:val="en-US" w:eastAsia="zh-CN"/>
              </w:rPr>
              <w:t>2</w:t>
            </w:r>
          </w:p>
        </w:tc>
        <w:tc>
          <w:tcPr>
            <w:tcW w:w="472" w:type="pct"/>
            <w:tcBorders>
              <w:top w:val="nil"/>
              <w:left w:val="nil"/>
              <w:bottom w:val="single" w:color="auto" w:sz="4" w:space="0"/>
              <w:right w:val="single" w:color="auto" w:sz="12" w:space="0"/>
            </w:tcBorders>
            <w:noWrap/>
            <w:vAlign w:val="center"/>
          </w:tcPr>
          <w:p>
            <w:pPr>
              <w:spacing w:line="350" w:lineRule="exact"/>
              <w:jc w:val="center"/>
              <w:rPr>
                <w:szCs w:val="21"/>
              </w:rPr>
            </w:pPr>
            <w:r>
              <w:rPr>
                <w:rFonts w:hint="eastAsia"/>
                <w:szCs w:val="21"/>
                <w:lang w:eastAsia="zh-CN"/>
              </w:rPr>
              <w:t>符合要求</w:t>
            </w:r>
          </w:p>
        </w:tc>
      </w:tr>
      <w:tr>
        <w:tblPrEx>
          <w:tblCellMar>
            <w:top w:w="0" w:type="dxa"/>
            <w:left w:w="28" w:type="dxa"/>
            <w:bottom w:w="0" w:type="dxa"/>
            <w:right w:w="28" w:type="dxa"/>
          </w:tblCellMar>
        </w:tblPrEx>
        <w:trPr>
          <w:trHeight w:val="1326" w:hRule="atLeast"/>
          <w:jc w:val="center"/>
        </w:trPr>
        <w:tc>
          <w:tcPr>
            <w:tcW w:w="776" w:type="pct"/>
            <w:vMerge w:val="continue"/>
            <w:tcBorders>
              <w:left w:val="single" w:color="auto" w:sz="12" w:space="0"/>
              <w:bottom w:val="single" w:color="000000" w:sz="4" w:space="0"/>
              <w:right w:val="single" w:color="auto" w:sz="4" w:space="0"/>
            </w:tcBorders>
            <w:noWrap w:val="0"/>
            <w:vAlign w:val="center"/>
          </w:tcPr>
          <w:p>
            <w:pPr>
              <w:spacing w:line="350" w:lineRule="exact"/>
              <w:jc w:val="center"/>
              <w:rPr>
                <w:szCs w:val="21"/>
              </w:rPr>
            </w:pPr>
          </w:p>
        </w:tc>
        <w:tc>
          <w:tcPr>
            <w:tcW w:w="264" w:type="pct"/>
            <w:vMerge w:val="continue"/>
            <w:tcBorders>
              <w:top w:val="nil"/>
              <w:left w:val="single" w:color="auto" w:sz="4" w:space="0"/>
              <w:bottom w:val="single" w:color="auto" w:sz="4" w:space="0"/>
              <w:right w:val="single" w:color="auto" w:sz="4" w:space="0"/>
            </w:tcBorders>
            <w:noWrap w:val="0"/>
            <w:vAlign w:val="center"/>
          </w:tcPr>
          <w:p>
            <w:pPr>
              <w:spacing w:line="350" w:lineRule="exact"/>
              <w:jc w:val="center"/>
              <w:rPr>
                <w:szCs w:val="21"/>
              </w:rPr>
            </w:pPr>
          </w:p>
        </w:tc>
        <w:tc>
          <w:tcPr>
            <w:tcW w:w="423" w:type="pct"/>
            <w:tcBorders>
              <w:top w:val="nil"/>
              <w:left w:val="nil"/>
              <w:bottom w:val="single" w:color="auto" w:sz="4" w:space="0"/>
              <w:right w:val="single" w:color="auto" w:sz="4" w:space="0"/>
            </w:tcBorders>
            <w:noWrap w:val="0"/>
            <w:vAlign w:val="center"/>
          </w:tcPr>
          <w:p>
            <w:pPr>
              <w:spacing w:line="350" w:lineRule="exact"/>
              <w:jc w:val="center"/>
              <w:rPr>
                <w:szCs w:val="21"/>
              </w:rPr>
            </w:pPr>
            <w:r>
              <w:rPr>
                <w:rFonts w:hint="eastAsia"/>
                <w:szCs w:val="21"/>
              </w:rPr>
              <w:t>固定资产利用率（</w:t>
            </w:r>
            <w:r>
              <w:rPr>
                <w:szCs w:val="21"/>
              </w:rPr>
              <w:t>1</w:t>
            </w:r>
            <w:r>
              <w:rPr>
                <w:rFonts w:hint="eastAsia"/>
                <w:szCs w:val="21"/>
              </w:rPr>
              <w:t>分）</w:t>
            </w:r>
          </w:p>
        </w:tc>
        <w:tc>
          <w:tcPr>
            <w:tcW w:w="1166" w:type="pct"/>
            <w:tcBorders>
              <w:top w:val="nil"/>
              <w:left w:val="nil"/>
              <w:bottom w:val="single" w:color="auto" w:sz="4" w:space="0"/>
              <w:right w:val="single" w:color="auto" w:sz="4" w:space="0"/>
            </w:tcBorders>
            <w:noWrap w:val="0"/>
            <w:vAlign w:val="center"/>
          </w:tcPr>
          <w:p>
            <w:pPr>
              <w:spacing w:line="350" w:lineRule="exact"/>
              <w:rPr>
                <w:szCs w:val="21"/>
              </w:rPr>
            </w:pPr>
            <w:r>
              <w:rPr>
                <w:rFonts w:hint="eastAsia"/>
                <w:szCs w:val="21"/>
              </w:rPr>
              <w:t>部门（单位）实际在用固定资产总额与所有固定资产总额的比率，用以反映和考核部门（单位）固定资产使用效率程度。</w:t>
            </w:r>
          </w:p>
        </w:tc>
        <w:tc>
          <w:tcPr>
            <w:tcW w:w="1530" w:type="pct"/>
            <w:tcBorders>
              <w:top w:val="nil"/>
              <w:left w:val="nil"/>
              <w:bottom w:val="single" w:color="auto" w:sz="4" w:space="0"/>
              <w:right w:val="single" w:color="auto" w:sz="4" w:space="0"/>
            </w:tcBorders>
            <w:noWrap w:val="0"/>
            <w:vAlign w:val="center"/>
          </w:tcPr>
          <w:p>
            <w:pPr>
              <w:spacing w:line="350" w:lineRule="exact"/>
              <w:rPr>
                <w:szCs w:val="21"/>
              </w:rPr>
            </w:pPr>
            <w:r>
              <w:rPr>
                <w:rFonts w:hint="eastAsia"/>
                <w:szCs w:val="21"/>
              </w:rPr>
              <w:t>固定资产利用率</w:t>
            </w:r>
            <w:r>
              <w:rPr>
                <w:szCs w:val="21"/>
              </w:rPr>
              <w:t>=</w:t>
            </w:r>
            <w:r>
              <w:rPr>
                <w:rFonts w:hint="eastAsia"/>
                <w:szCs w:val="21"/>
              </w:rPr>
              <w:t>（实际在用固定资产总额</w:t>
            </w:r>
            <w:r>
              <w:rPr>
                <w:szCs w:val="21"/>
              </w:rPr>
              <w:t>/</w:t>
            </w:r>
            <w:r>
              <w:rPr>
                <w:rFonts w:hint="eastAsia"/>
                <w:szCs w:val="21"/>
              </w:rPr>
              <w:t>所有固定资产总额）×</w:t>
            </w:r>
            <w:r>
              <w:rPr>
                <w:szCs w:val="21"/>
              </w:rPr>
              <w:t>100%</w:t>
            </w:r>
            <w:r>
              <w:rPr>
                <w:rFonts w:hint="eastAsia"/>
                <w:szCs w:val="21"/>
              </w:rPr>
              <w:t>。（利用率为</w:t>
            </w:r>
            <w:r>
              <w:rPr>
                <w:szCs w:val="21"/>
              </w:rPr>
              <w:t>100%</w:t>
            </w:r>
            <w:r>
              <w:rPr>
                <w:rFonts w:hint="eastAsia"/>
                <w:szCs w:val="21"/>
              </w:rPr>
              <w:t>的计</w:t>
            </w:r>
            <w:r>
              <w:rPr>
                <w:szCs w:val="21"/>
              </w:rPr>
              <w:t>1</w:t>
            </w:r>
            <w:r>
              <w:rPr>
                <w:rFonts w:hint="eastAsia"/>
                <w:szCs w:val="21"/>
              </w:rPr>
              <w:t>分，每降</w:t>
            </w:r>
            <w:r>
              <w:rPr>
                <w:szCs w:val="21"/>
              </w:rPr>
              <w:t>1</w:t>
            </w:r>
            <w:r>
              <w:rPr>
                <w:rFonts w:hint="eastAsia"/>
                <w:szCs w:val="21"/>
              </w:rPr>
              <w:t>个百分点扣</w:t>
            </w:r>
            <w:r>
              <w:rPr>
                <w:szCs w:val="21"/>
              </w:rPr>
              <w:t>0.1</w:t>
            </w:r>
            <w:r>
              <w:rPr>
                <w:rFonts w:hint="eastAsia"/>
                <w:szCs w:val="21"/>
              </w:rPr>
              <w:t>分，扣完为止）</w:t>
            </w:r>
          </w:p>
        </w:tc>
        <w:tc>
          <w:tcPr>
            <w:tcW w:w="365" w:type="pct"/>
            <w:tcBorders>
              <w:top w:val="nil"/>
              <w:left w:val="nil"/>
              <w:bottom w:val="single" w:color="auto" w:sz="4" w:space="0"/>
              <w:right w:val="single" w:color="auto" w:sz="4" w:space="0"/>
            </w:tcBorders>
            <w:noWrap/>
            <w:vAlign w:val="center"/>
          </w:tcPr>
          <w:p>
            <w:pPr>
              <w:spacing w:line="350" w:lineRule="exact"/>
              <w:jc w:val="center"/>
              <w:rPr>
                <w:rFonts w:hint="eastAsia" w:eastAsia="宋体"/>
                <w:szCs w:val="21"/>
                <w:lang w:val="en-US" w:eastAsia="zh-CN"/>
              </w:rPr>
            </w:pPr>
            <w:r>
              <w:rPr>
                <w:rFonts w:hint="eastAsia"/>
                <w:szCs w:val="21"/>
                <w:lang w:val="en-US" w:eastAsia="zh-CN"/>
              </w:rPr>
              <w:t>1</w:t>
            </w:r>
          </w:p>
        </w:tc>
        <w:tc>
          <w:tcPr>
            <w:tcW w:w="472" w:type="pct"/>
            <w:tcBorders>
              <w:top w:val="nil"/>
              <w:left w:val="nil"/>
              <w:bottom w:val="single" w:color="auto" w:sz="4" w:space="0"/>
              <w:right w:val="single" w:color="auto" w:sz="12" w:space="0"/>
            </w:tcBorders>
            <w:noWrap/>
            <w:vAlign w:val="center"/>
          </w:tcPr>
          <w:p>
            <w:pPr>
              <w:spacing w:line="350" w:lineRule="exact"/>
              <w:jc w:val="center"/>
              <w:rPr>
                <w:szCs w:val="21"/>
              </w:rPr>
            </w:pPr>
            <w:r>
              <w:rPr>
                <w:rFonts w:hint="eastAsia"/>
                <w:szCs w:val="21"/>
                <w:lang w:eastAsia="zh-CN"/>
              </w:rPr>
              <w:t>符合要求</w:t>
            </w:r>
          </w:p>
        </w:tc>
      </w:tr>
      <w:tr>
        <w:tblPrEx>
          <w:tblCellMar>
            <w:top w:w="0" w:type="dxa"/>
            <w:left w:w="28" w:type="dxa"/>
            <w:bottom w:w="0" w:type="dxa"/>
            <w:right w:w="28" w:type="dxa"/>
          </w:tblCellMar>
        </w:tblPrEx>
        <w:trPr>
          <w:trHeight w:val="621" w:hRule="atLeast"/>
          <w:jc w:val="center"/>
        </w:trPr>
        <w:tc>
          <w:tcPr>
            <w:tcW w:w="776" w:type="pct"/>
            <w:vMerge w:val="restart"/>
            <w:tcBorders>
              <w:top w:val="nil"/>
              <w:left w:val="single" w:color="auto" w:sz="12" w:space="0"/>
              <w:bottom w:val="single" w:color="auto" w:sz="4" w:space="0"/>
              <w:right w:val="single" w:color="auto" w:sz="4" w:space="0"/>
            </w:tcBorders>
            <w:noWrap/>
            <w:vAlign w:val="center"/>
          </w:tcPr>
          <w:p>
            <w:pPr>
              <w:spacing w:line="240" w:lineRule="exact"/>
              <w:jc w:val="center"/>
              <w:rPr>
                <w:szCs w:val="21"/>
              </w:rPr>
            </w:pPr>
            <w:r>
              <w:rPr>
                <w:rFonts w:hint="eastAsia"/>
                <w:szCs w:val="21"/>
              </w:rPr>
              <w:t>产</w:t>
            </w:r>
            <w:r>
              <w:rPr>
                <w:szCs w:val="21"/>
              </w:rPr>
              <w:t xml:space="preserve"> </w:t>
            </w:r>
            <w:r>
              <w:rPr>
                <w:rFonts w:hint="eastAsia"/>
                <w:szCs w:val="21"/>
              </w:rPr>
              <w:t>出（</w:t>
            </w:r>
            <w:r>
              <w:rPr>
                <w:szCs w:val="21"/>
              </w:rPr>
              <w:t>30</w:t>
            </w:r>
            <w:r>
              <w:rPr>
                <w:rFonts w:hint="eastAsia"/>
                <w:szCs w:val="21"/>
              </w:rPr>
              <w:t>分）</w:t>
            </w:r>
          </w:p>
        </w:tc>
        <w:tc>
          <w:tcPr>
            <w:tcW w:w="264" w:type="pct"/>
            <w:vMerge w:val="restart"/>
            <w:tcBorders>
              <w:top w:val="nil"/>
              <w:left w:val="single" w:color="auto" w:sz="4" w:space="0"/>
              <w:bottom w:val="single" w:color="auto" w:sz="4" w:space="0"/>
              <w:right w:val="single" w:color="auto" w:sz="4" w:space="0"/>
            </w:tcBorders>
            <w:noWrap w:val="0"/>
            <w:vAlign w:val="center"/>
          </w:tcPr>
          <w:p>
            <w:pPr>
              <w:spacing w:line="240" w:lineRule="exact"/>
              <w:jc w:val="center"/>
              <w:rPr>
                <w:szCs w:val="21"/>
              </w:rPr>
            </w:pPr>
            <w:r>
              <w:rPr>
                <w:rFonts w:hint="eastAsia"/>
                <w:szCs w:val="21"/>
              </w:rPr>
              <w:t>职责履行（</w:t>
            </w:r>
            <w:r>
              <w:rPr>
                <w:szCs w:val="21"/>
              </w:rPr>
              <w:t>30</w:t>
            </w:r>
            <w:r>
              <w:rPr>
                <w:rFonts w:hint="eastAsia"/>
                <w:szCs w:val="21"/>
              </w:rPr>
              <w:t>分）</w:t>
            </w:r>
          </w:p>
        </w:tc>
        <w:tc>
          <w:tcPr>
            <w:tcW w:w="423" w:type="pct"/>
            <w:tcBorders>
              <w:top w:val="nil"/>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实际完成率（</w:t>
            </w:r>
            <w:r>
              <w:rPr>
                <w:szCs w:val="21"/>
              </w:rPr>
              <w:t>8</w:t>
            </w:r>
            <w:r>
              <w:rPr>
                <w:rFonts w:hint="eastAsia"/>
                <w:szCs w:val="21"/>
              </w:rPr>
              <w:t>分）</w:t>
            </w:r>
          </w:p>
        </w:tc>
        <w:tc>
          <w:tcPr>
            <w:tcW w:w="1166"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部门（单位）履行职责而实际完成工作数与计划工作数的比率，用以反映和考核部门（单位）履职工作任务目标的实现程度。</w:t>
            </w:r>
          </w:p>
        </w:tc>
        <w:tc>
          <w:tcPr>
            <w:tcW w:w="1530"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实际完成率</w:t>
            </w:r>
            <w:r>
              <w:rPr>
                <w:szCs w:val="21"/>
              </w:rPr>
              <w:t>=</w:t>
            </w:r>
            <w:r>
              <w:rPr>
                <w:rFonts w:hint="eastAsia"/>
                <w:szCs w:val="21"/>
              </w:rPr>
              <w:t>（实际完成工作数</w:t>
            </w:r>
            <w:r>
              <w:rPr>
                <w:szCs w:val="21"/>
              </w:rPr>
              <w:t>/</w:t>
            </w:r>
            <w:r>
              <w:rPr>
                <w:rFonts w:hint="eastAsia"/>
                <w:szCs w:val="21"/>
              </w:rPr>
              <w:t>计划工作数）×</w:t>
            </w:r>
            <w:r>
              <w:rPr>
                <w:szCs w:val="21"/>
              </w:rPr>
              <w:t>100%</w:t>
            </w:r>
            <w:r>
              <w:rPr>
                <w:rFonts w:hint="eastAsia"/>
                <w:szCs w:val="21"/>
              </w:rPr>
              <w:t>。（实际得分</w:t>
            </w:r>
            <w:r>
              <w:rPr>
                <w:szCs w:val="21"/>
              </w:rPr>
              <w:t>=</w:t>
            </w:r>
            <w:r>
              <w:rPr>
                <w:rFonts w:hint="eastAsia"/>
                <w:szCs w:val="21"/>
              </w:rPr>
              <w:t>实际工作完成率</w:t>
            </w:r>
            <w:r>
              <w:rPr>
                <w:szCs w:val="21"/>
              </w:rPr>
              <w:t>*8</w:t>
            </w:r>
            <w:r>
              <w:rPr>
                <w:rFonts w:hint="eastAsia"/>
                <w:szCs w:val="21"/>
              </w:rPr>
              <w:t>分）</w:t>
            </w:r>
          </w:p>
          <w:p>
            <w:pPr>
              <w:spacing w:line="240" w:lineRule="exact"/>
              <w:rPr>
                <w:szCs w:val="21"/>
              </w:rPr>
            </w:pPr>
            <w:r>
              <w:rPr>
                <w:rFonts w:hint="eastAsia"/>
                <w:szCs w:val="21"/>
              </w:rPr>
              <w:t>实际完成工作数：一定时期（年度或规划期）内部门（单位）实际完成工作任务的数量。</w:t>
            </w:r>
          </w:p>
          <w:p>
            <w:pPr>
              <w:spacing w:line="240" w:lineRule="exact"/>
              <w:rPr>
                <w:szCs w:val="21"/>
              </w:rPr>
            </w:pPr>
            <w:r>
              <w:rPr>
                <w:rFonts w:hint="eastAsia"/>
                <w:szCs w:val="21"/>
              </w:rPr>
              <w:t>计划工作数：部门（单位）整体绩效目标确定的一定时期（年度或规划期）内预计完成工作任务的数量。</w:t>
            </w:r>
          </w:p>
        </w:tc>
        <w:tc>
          <w:tcPr>
            <w:tcW w:w="365" w:type="pct"/>
            <w:tcBorders>
              <w:top w:val="nil"/>
              <w:left w:val="nil"/>
              <w:bottom w:val="single" w:color="auto" w:sz="4" w:space="0"/>
              <w:right w:val="single" w:color="auto" w:sz="4" w:space="0"/>
            </w:tcBorders>
            <w:noWrap/>
            <w:vAlign w:val="center"/>
          </w:tcPr>
          <w:p>
            <w:pPr>
              <w:spacing w:line="240" w:lineRule="exact"/>
              <w:jc w:val="center"/>
              <w:rPr>
                <w:rFonts w:hint="default" w:eastAsia="宋体"/>
                <w:szCs w:val="21"/>
                <w:lang w:val="en-US" w:eastAsia="zh-CN"/>
              </w:rPr>
            </w:pPr>
            <w:r>
              <w:rPr>
                <w:rFonts w:hint="eastAsia"/>
                <w:szCs w:val="21"/>
                <w:highlight w:val="none"/>
                <w:lang w:val="en-US" w:eastAsia="zh-CN"/>
              </w:rPr>
              <w:t>8</w:t>
            </w:r>
          </w:p>
        </w:tc>
        <w:tc>
          <w:tcPr>
            <w:tcW w:w="472" w:type="pct"/>
            <w:tcBorders>
              <w:top w:val="nil"/>
              <w:left w:val="nil"/>
              <w:bottom w:val="single" w:color="auto" w:sz="4" w:space="0"/>
              <w:right w:val="single" w:color="auto" w:sz="12" w:space="0"/>
            </w:tcBorders>
            <w:noWrap/>
            <w:vAlign w:val="center"/>
          </w:tcPr>
          <w:p>
            <w:pPr>
              <w:spacing w:line="240" w:lineRule="exact"/>
              <w:jc w:val="center"/>
              <w:rPr>
                <w:szCs w:val="21"/>
              </w:rPr>
            </w:pPr>
            <w:r>
              <w:rPr>
                <w:rFonts w:hint="eastAsia"/>
                <w:szCs w:val="21"/>
                <w:lang w:eastAsia="zh-CN"/>
              </w:rPr>
              <w:t>符合要求</w:t>
            </w:r>
          </w:p>
        </w:tc>
      </w:tr>
      <w:tr>
        <w:tblPrEx>
          <w:tblCellMar>
            <w:top w:w="0" w:type="dxa"/>
            <w:left w:w="28" w:type="dxa"/>
            <w:bottom w:w="0" w:type="dxa"/>
            <w:right w:w="28" w:type="dxa"/>
          </w:tblCellMar>
        </w:tblPrEx>
        <w:trPr>
          <w:trHeight w:val="1359" w:hRule="atLeast"/>
          <w:jc w:val="center"/>
        </w:trPr>
        <w:tc>
          <w:tcPr>
            <w:tcW w:w="776" w:type="pct"/>
            <w:vMerge w:val="continue"/>
            <w:tcBorders>
              <w:top w:val="nil"/>
              <w:left w:val="single" w:color="auto" w:sz="12" w:space="0"/>
              <w:bottom w:val="single" w:color="auto" w:sz="4" w:space="0"/>
              <w:right w:val="single" w:color="auto" w:sz="4" w:space="0"/>
            </w:tcBorders>
            <w:noWrap w:val="0"/>
            <w:vAlign w:val="center"/>
          </w:tcPr>
          <w:p>
            <w:pPr>
              <w:spacing w:line="240" w:lineRule="exact"/>
              <w:jc w:val="center"/>
              <w:rPr>
                <w:szCs w:val="21"/>
              </w:rPr>
            </w:pPr>
          </w:p>
        </w:tc>
        <w:tc>
          <w:tcPr>
            <w:tcW w:w="264" w:type="pct"/>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szCs w:val="21"/>
              </w:rPr>
            </w:pPr>
          </w:p>
        </w:tc>
        <w:tc>
          <w:tcPr>
            <w:tcW w:w="423" w:type="pct"/>
            <w:tcBorders>
              <w:top w:val="nil"/>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完成及时率（</w:t>
            </w:r>
            <w:r>
              <w:rPr>
                <w:szCs w:val="21"/>
              </w:rPr>
              <w:t>4</w:t>
            </w:r>
            <w:r>
              <w:rPr>
                <w:rFonts w:hint="eastAsia"/>
                <w:szCs w:val="21"/>
              </w:rPr>
              <w:t>分）</w:t>
            </w:r>
          </w:p>
        </w:tc>
        <w:tc>
          <w:tcPr>
            <w:tcW w:w="1166"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部门（单位）在规定时限内及时完成的实际工作数与计划工作数的比率</w:t>
            </w:r>
            <w:r>
              <w:rPr>
                <w:szCs w:val="21"/>
              </w:rPr>
              <w:t>,</w:t>
            </w:r>
            <w:r>
              <w:rPr>
                <w:rFonts w:hint="eastAsia"/>
                <w:szCs w:val="21"/>
              </w:rPr>
              <w:t>用以反映和考核部门履职时效目标的实现程度。</w:t>
            </w:r>
          </w:p>
        </w:tc>
        <w:tc>
          <w:tcPr>
            <w:tcW w:w="1530"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完成及时率</w:t>
            </w:r>
            <w:r>
              <w:rPr>
                <w:szCs w:val="21"/>
              </w:rPr>
              <w:t>=</w:t>
            </w:r>
            <w:r>
              <w:rPr>
                <w:rFonts w:hint="eastAsia"/>
                <w:szCs w:val="21"/>
              </w:rPr>
              <w:t>（及时完成实际工作数</w:t>
            </w:r>
            <w:r>
              <w:rPr>
                <w:szCs w:val="21"/>
              </w:rPr>
              <w:t>/</w:t>
            </w:r>
            <w:r>
              <w:rPr>
                <w:rFonts w:hint="eastAsia"/>
                <w:szCs w:val="21"/>
              </w:rPr>
              <w:t>计划工作数）×</w:t>
            </w:r>
            <w:r>
              <w:rPr>
                <w:szCs w:val="21"/>
              </w:rPr>
              <w:t>100%</w:t>
            </w:r>
            <w:r>
              <w:rPr>
                <w:rFonts w:hint="eastAsia"/>
                <w:szCs w:val="21"/>
              </w:rPr>
              <w:t>。（</w:t>
            </w:r>
            <w:r>
              <w:rPr>
                <w:szCs w:val="21"/>
              </w:rPr>
              <w:t>1--4</w:t>
            </w:r>
            <w:r>
              <w:rPr>
                <w:rFonts w:hint="eastAsia"/>
                <w:szCs w:val="21"/>
              </w:rPr>
              <w:t>季度各得</w:t>
            </w:r>
            <w:r>
              <w:rPr>
                <w:szCs w:val="21"/>
              </w:rPr>
              <w:t>1</w:t>
            </w:r>
            <w:r>
              <w:rPr>
                <w:rFonts w:hint="eastAsia"/>
                <w:szCs w:val="21"/>
              </w:rPr>
              <w:t>分）</w:t>
            </w:r>
          </w:p>
          <w:p>
            <w:pPr>
              <w:spacing w:line="240" w:lineRule="exact"/>
              <w:rPr>
                <w:szCs w:val="21"/>
              </w:rPr>
            </w:pPr>
            <w:r>
              <w:rPr>
                <w:rFonts w:hint="eastAsia"/>
                <w:szCs w:val="21"/>
              </w:rPr>
              <w:t>及时完成实际工作数：部门（单位）按照整体绩效目标确定的时限实际完成的工作任务数量。</w:t>
            </w:r>
          </w:p>
        </w:tc>
        <w:tc>
          <w:tcPr>
            <w:tcW w:w="365" w:type="pct"/>
            <w:tcBorders>
              <w:top w:val="nil"/>
              <w:left w:val="nil"/>
              <w:bottom w:val="single" w:color="auto" w:sz="4" w:space="0"/>
              <w:right w:val="single" w:color="auto" w:sz="4" w:space="0"/>
            </w:tcBorders>
            <w:noWrap/>
            <w:vAlign w:val="center"/>
          </w:tcPr>
          <w:p>
            <w:pPr>
              <w:spacing w:line="240" w:lineRule="exact"/>
              <w:jc w:val="center"/>
              <w:rPr>
                <w:rFonts w:hint="default" w:eastAsia="宋体"/>
                <w:szCs w:val="21"/>
                <w:lang w:val="en-US" w:eastAsia="zh-CN"/>
              </w:rPr>
            </w:pPr>
            <w:r>
              <w:rPr>
                <w:rFonts w:hint="eastAsia"/>
                <w:szCs w:val="21"/>
                <w:lang w:val="en-US" w:eastAsia="zh-CN"/>
              </w:rPr>
              <w:t>3.5</w:t>
            </w:r>
          </w:p>
        </w:tc>
        <w:tc>
          <w:tcPr>
            <w:tcW w:w="472" w:type="pct"/>
            <w:tcBorders>
              <w:top w:val="nil"/>
              <w:left w:val="nil"/>
              <w:bottom w:val="single" w:color="auto" w:sz="4" w:space="0"/>
              <w:right w:val="single" w:color="auto" w:sz="12" w:space="0"/>
            </w:tcBorders>
            <w:noWrap/>
            <w:vAlign w:val="center"/>
          </w:tcPr>
          <w:p>
            <w:pPr>
              <w:spacing w:line="240" w:lineRule="exact"/>
              <w:jc w:val="center"/>
              <w:rPr>
                <w:szCs w:val="21"/>
              </w:rPr>
            </w:pPr>
            <w:r>
              <w:rPr>
                <w:rFonts w:hint="eastAsia"/>
                <w:szCs w:val="21"/>
                <w:lang w:eastAsia="zh-CN"/>
              </w:rPr>
              <w:t>符合要求</w:t>
            </w:r>
          </w:p>
        </w:tc>
      </w:tr>
      <w:tr>
        <w:tblPrEx>
          <w:tblCellMar>
            <w:top w:w="0" w:type="dxa"/>
            <w:left w:w="28" w:type="dxa"/>
            <w:bottom w:w="0" w:type="dxa"/>
            <w:right w:w="28" w:type="dxa"/>
          </w:tblCellMar>
        </w:tblPrEx>
        <w:trPr>
          <w:trHeight w:val="1778" w:hRule="atLeast"/>
          <w:jc w:val="center"/>
        </w:trPr>
        <w:tc>
          <w:tcPr>
            <w:tcW w:w="776" w:type="pct"/>
            <w:vMerge w:val="continue"/>
            <w:tcBorders>
              <w:top w:val="nil"/>
              <w:left w:val="single" w:color="auto" w:sz="12" w:space="0"/>
              <w:bottom w:val="single" w:color="auto" w:sz="4" w:space="0"/>
              <w:right w:val="single" w:color="auto" w:sz="4" w:space="0"/>
            </w:tcBorders>
            <w:noWrap w:val="0"/>
            <w:vAlign w:val="center"/>
          </w:tcPr>
          <w:p>
            <w:pPr>
              <w:spacing w:line="240" w:lineRule="exact"/>
              <w:jc w:val="center"/>
              <w:rPr>
                <w:szCs w:val="21"/>
              </w:rPr>
            </w:pPr>
          </w:p>
        </w:tc>
        <w:tc>
          <w:tcPr>
            <w:tcW w:w="264" w:type="pct"/>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szCs w:val="21"/>
              </w:rPr>
            </w:pPr>
          </w:p>
        </w:tc>
        <w:tc>
          <w:tcPr>
            <w:tcW w:w="423" w:type="pct"/>
            <w:tcBorders>
              <w:top w:val="nil"/>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质量达标率（</w:t>
            </w:r>
            <w:r>
              <w:rPr>
                <w:szCs w:val="21"/>
              </w:rPr>
              <w:t>8</w:t>
            </w:r>
            <w:r>
              <w:rPr>
                <w:rFonts w:hint="eastAsia"/>
                <w:szCs w:val="21"/>
              </w:rPr>
              <w:t>分）</w:t>
            </w:r>
          </w:p>
        </w:tc>
        <w:tc>
          <w:tcPr>
            <w:tcW w:w="1166"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达到质量标准（绩效标准值）的实际工作数与计划工作数的比率</w:t>
            </w:r>
            <w:r>
              <w:rPr>
                <w:szCs w:val="21"/>
              </w:rPr>
              <w:t>,</w:t>
            </w:r>
            <w:r>
              <w:rPr>
                <w:rFonts w:hint="eastAsia"/>
                <w:szCs w:val="21"/>
              </w:rPr>
              <w:t>用以反映和考核部门履职质量目标的实现程度。</w:t>
            </w:r>
          </w:p>
        </w:tc>
        <w:tc>
          <w:tcPr>
            <w:tcW w:w="1530"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质量达标率</w:t>
            </w:r>
            <w:r>
              <w:rPr>
                <w:szCs w:val="21"/>
              </w:rPr>
              <w:t>=</w:t>
            </w:r>
            <w:r>
              <w:rPr>
                <w:rFonts w:hint="eastAsia"/>
                <w:szCs w:val="21"/>
              </w:rPr>
              <w:t>（质量达标实际工作数</w:t>
            </w:r>
            <w:r>
              <w:rPr>
                <w:szCs w:val="21"/>
              </w:rPr>
              <w:t>/</w:t>
            </w:r>
            <w:r>
              <w:rPr>
                <w:rFonts w:hint="eastAsia"/>
                <w:szCs w:val="21"/>
              </w:rPr>
              <w:t>计划工作数）×</w:t>
            </w:r>
            <w:r>
              <w:rPr>
                <w:szCs w:val="21"/>
              </w:rPr>
              <w:t>100%</w:t>
            </w:r>
            <w:r>
              <w:rPr>
                <w:rFonts w:hint="eastAsia"/>
                <w:szCs w:val="21"/>
              </w:rPr>
              <w:t>。（实际得分</w:t>
            </w:r>
            <w:r>
              <w:rPr>
                <w:szCs w:val="21"/>
              </w:rPr>
              <w:t>=</w:t>
            </w:r>
            <w:r>
              <w:rPr>
                <w:rFonts w:hint="eastAsia"/>
                <w:szCs w:val="21"/>
              </w:rPr>
              <w:t>达标率</w:t>
            </w:r>
            <w:r>
              <w:rPr>
                <w:szCs w:val="21"/>
              </w:rPr>
              <w:t>*8</w:t>
            </w:r>
            <w:r>
              <w:rPr>
                <w:rFonts w:hint="eastAsia"/>
                <w:szCs w:val="21"/>
              </w:rPr>
              <w:t>分）</w:t>
            </w:r>
          </w:p>
          <w:p>
            <w:pPr>
              <w:spacing w:line="240" w:lineRule="exact"/>
              <w:rPr>
                <w:szCs w:val="21"/>
              </w:rPr>
            </w:pPr>
            <w:r>
              <w:rPr>
                <w:rFonts w:hint="eastAsia"/>
                <w:szCs w:val="21"/>
              </w:rPr>
              <w:t>质量达标实际工作数：一定时期（年度或规划期）内部门（单位）实际完成工作数中达到部门绩效目标要求（绩效标准值）的工作任务数量。</w:t>
            </w:r>
          </w:p>
        </w:tc>
        <w:tc>
          <w:tcPr>
            <w:tcW w:w="365" w:type="pct"/>
            <w:tcBorders>
              <w:top w:val="nil"/>
              <w:left w:val="nil"/>
              <w:bottom w:val="single" w:color="auto" w:sz="4" w:space="0"/>
              <w:right w:val="single" w:color="auto" w:sz="4" w:space="0"/>
            </w:tcBorders>
            <w:noWrap/>
            <w:vAlign w:val="center"/>
          </w:tcPr>
          <w:p>
            <w:pPr>
              <w:spacing w:line="240" w:lineRule="exact"/>
              <w:jc w:val="center"/>
              <w:rPr>
                <w:rFonts w:hint="default" w:eastAsia="宋体"/>
                <w:szCs w:val="21"/>
                <w:lang w:val="en-US" w:eastAsia="zh-CN"/>
              </w:rPr>
            </w:pPr>
            <w:r>
              <w:rPr>
                <w:rFonts w:hint="eastAsia"/>
                <w:szCs w:val="21"/>
                <w:highlight w:val="none"/>
                <w:lang w:val="en-US" w:eastAsia="zh-CN"/>
              </w:rPr>
              <w:t>7.5</w:t>
            </w:r>
          </w:p>
        </w:tc>
        <w:tc>
          <w:tcPr>
            <w:tcW w:w="472" w:type="pct"/>
            <w:tcBorders>
              <w:top w:val="nil"/>
              <w:left w:val="nil"/>
              <w:bottom w:val="single" w:color="auto" w:sz="4" w:space="0"/>
              <w:right w:val="single" w:color="auto" w:sz="12" w:space="0"/>
            </w:tcBorders>
            <w:noWrap/>
            <w:vAlign w:val="center"/>
          </w:tcPr>
          <w:p>
            <w:pPr>
              <w:spacing w:line="240" w:lineRule="exact"/>
              <w:jc w:val="center"/>
              <w:rPr>
                <w:szCs w:val="21"/>
              </w:rPr>
            </w:pPr>
            <w:r>
              <w:rPr>
                <w:rFonts w:hint="eastAsia"/>
                <w:szCs w:val="21"/>
                <w:lang w:eastAsia="zh-CN"/>
              </w:rPr>
              <w:t>符合要求</w:t>
            </w:r>
          </w:p>
        </w:tc>
      </w:tr>
      <w:tr>
        <w:tblPrEx>
          <w:tblCellMar>
            <w:top w:w="0" w:type="dxa"/>
            <w:left w:w="28" w:type="dxa"/>
            <w:bottom w:w="0" w:type="dxa"/>
            <w:right w:w="28" w:type="dxa"/>
          </w:tblCellMar>
        </w:tblPrEx>
        <w:trPr>
          <w:trHeight w:val="1464" w:hRule="atLeast"/>
          <w:jc w:val="center"/>
        </w:trPr>
        <w:tc>
          <w:tcPr>
            <w:tcW w:w="776" w:type="pct"/>
            <w:vMerge w:val="continue"/>
            <w:tcBorders>
              <w:top w:val="nil"/>
              <w:left w:val="single" w:color="auto" w:sz="12" w:space="0"/>
              <w:bottom w:val="single" w:color="auto" w:sz="4" w:space="0"/>
              <w:right w:val="single" w:color="auto" w:sz="4" w:space="0"/>
            </w:tcBorders>
            <w:noWrap w:val="0"/>
            <w:vAlign w:val="center"/>
          </w:tcPr>
          <w:p>
            <w:pPr>
              <w:spacing w:line="240" w:lineRule="exact"/>
              <w:jc w:val="center"/>
              <w:rPr>
                <w:szCs w:val="21"/>
              </w:rPr>
            </w:pPr>
          </w:p>
        </w:tc>
        <w:tc>
          <w:tcPr>
            <w:tcW w:w="264" w:type="pct"/>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szCs w:val="21"/>
              </w:rPr>
            </w:pPr>
          </w:p>
        </w:tc>
        <w:tc>
          <w:tcPr>
            <w:tcW w:w="423" w:type="pct"/>
            <w:tcBorders>
              <w:top w:val="nil"/>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重点工作办结率（</w:t>
            </w:r>
            <w:r>
              <w:rPr>
                <w:szCs w:val="21"/>
              </w:rPr>
              <w:t>10</w:t>
            </w:r>
            <w:r>
              <w:rPr>
                <w:rFonts w:hint="eastAsia"/>
                <w:szCs w:val="21"/>
              </w:rPr>
              <w:t>分）</w:t>
            </w:r>
          </w:p>
        </w:tc>
        <w:tc>
          <w:tcPr>
            <w:tcW w:w="1166"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部门（单位）年度重点工作实际完成数与交办或下达数的比率，用以反映部门（单位）对重点工作的办理落实程度。</w:t>
            </w:r>
          </w:p>
        </w:tc>
        <w:tc>
          <w:tcPr>
            <w:tcW w:w="1530"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重点工作办结率</w:t>
            </w:r>
            <w:r>
              <w:rPr>
                <w:szCs w:val="21"/>
              </w:rPr>
              <w:t>=</w:t>
            </w:r>
            <w:r>
              <w:rPr>
                <w:rFonts w:hint="eastAsia"/>
                <w:szCs w:val="21"/>
              </w:rPr>
              <w:t>（重点工作实际完成数</w:t>
            </w:r>
            <w:r>
              <w:rPr>
                <w:szCs w:val="21"/>
              </w:rPr>
              <w:t>/</w:t>
            </w:r>
            <w:r>
              <w:rPr>
                <w:rFonts w:hint="eastAsia"/>
                <w:szCs w:val="21"/>
              </w:rPr>
              <w:t>交办或下达数）×</w:t>
            </w:r>
            <w:r>
              <w:rPr>
                <w:szCs w:val="21"/>
              </w:rPr>
              <w:t>100%</w:t>
            </w:r>
            <w:r>
              <w:rPr>
                <w:rFonts w:hint="eastAsia"/>
                <w:szCs w:val="21"/>
              </w:rPr>
              <w:t>。（实际得分</w:t>
            </w:r>
            <w:r>
              <w:rPr>
                <w:szCs w:val="21"/>
              </w:rPr>
              <w:t>=</w:t>
            </w:r>
            <w:r>
              <w:rPr>
                <w:rFonts w:hint="eastAsia"/>
                <w:szCs w:val="21"/>
              </w:rPr>
              <w:t>办结率</w:t>
            </w:r>
            <w:r>
              <w:rPr>
                <w:szCs w:val="21"/>
              </w:rPr>
              <w:t>*10</w:t>
            </w:r>
            <w:r>
              <w:rPr>
                <w:rFonts w:hint="eastAsia"/>
                <w:szCs w:val="21"/>
              </w:rPr>
              <w:t>分）</w:t>
            </w:r>
          </w:p>
          <w:p>
            <w:pPr>
              <w:spacing w:line="240" w:lineRule="exact"/>
              <w:rPr>
                <w:szCs w:val="21"/>
              </w:rPr>
            </w:pPr>
            <w:r>
              <w:rPr>
                <w:rFonts w:hint="eastAsia"/>
                <w:szCs w:val="21"/>
              </w:rPr>
              <w:t>重点工作是指党委、政府、人大、相关部门交办或下达的工作任务。</w:t>
            </w:r>
          </w:p>
        </w:tc>
        <w:tc>
          <w:tcPr>
            <w:tcW w:w="365" w:type="pct"/>
            <w:tcBorders>
              <w:top w:val="nil"/>
              <w:left w:val="nil"/>
              <w:bottom w:val="single" w:color="auto" w:sz="4" w:space="0"/>
              <w:right w:val="single" w:color="auto" w:sz="4" w:space="0"/>
            </w:tcBorders>
            <w:noWrap/>
            <w:vAlign w:val="center"/>
          </w:tcPr>
          <w:p>
            <w:pPr>
              <w:spacing w:line="240" w:lineRule="exact"/>
              <w:jc w:val="center"/>
              <w:rPr>
                <w:rFonts w:hint="default" w:eastAsia="宋体"/>
                <w:szCs w:val="21"/>
                <w:lang w:val="en-US" w:eastAsia="zh-CN"/>
              </w:rPr>
            </w:pPr>
            <w:r>
              <w:rPr>
                <w:rFonts w:hint="eastAsia"/>
                <w:szCs w:val="21"/>
                <w:lang w:val="en-US" w:eastAsia="zh-CN"/>
              </w:rPr>
              <w:t>10</w:t>
            </w:r>
          </w:p>
        </w:tc>
        <w:tc>
          <w:tcPr>
            <w:tcW w:w="472" w:type="pct"/>
            <w:tcBorders>
              <w:top w:val="nil"/>
              <w:left w:val="nil"/>
              <w:bottom w:val="single" w:color="auto" w:sz="4" w:space="0"/>
              <w:right w:val="single" w:color="auto" w:sz="12" w:space="0"/>
            </w:tcBorders>
            <w:noWrap/>
            <w:vAlign w:val="center"/>
          </w:tcPr>
          <w:p>
            <w:pPr>
              <w:spacing w:line="240" w:lineRule="exact"/>
              <w:jc w:val="center"/>
              <w:rPr>
                <w:szCs w:val="21"/>
              </w:rPr>
            </w:pPr>
            <w:r>
              <w:rPr>
                <w:rFonts w:hint="eastAsia"/>
                <w:szCs w:val="21"/>
                <w:lang w:eastAsia="zh-CN"/>
              </w:rPr>
              <w:t>符合要求</w:t>
            </w:r>
          </w:p>
        </w:tc>
      </w:tr>
      <w:tr>
        <w:tblPrEx>
          <w:tblCellMar>
            <w:top w:w="0" w:type="dxa"/>
            <w:left w:w="28" w:type="dxa"/>
            <w:bottom w:w="0" w:type="dxa"/>
            <w:right w:w="28" w:type="dxa"/>
          </w:tblCellMar>
        </w:tblPrEx>
        <w:trPr>
          <w:trHeight w:val="776" w:hRule="atLeast"/>
          <w:jc w:val="center"/>
        </w:trPr>
        <w:tc>
          <w:tcPr>
            <w:tcW w:w="776" w:type="pct"/>
            <w:vMerge w:val="restart"/>
            <w:tcBorders>
              <w:top w:val="single" w:color="auto" w:sz="4" w:space="0"/>
              <w:left w:val="single" w:color="auto" w:sz="12" w:space="0"/>
              <w:bottom w:val="single" w:color="auto" w:sz="4" w:space="0"/>
              <w:right w:val="single" w:color="auto" w:sz="4" w:space="0"/>
            </w:tcBorders>
            <w:noWrap/>
            <w:vAlign w:val="center"/>
          </w:tcPr>
          <w:p>
            <w:pPr>
              <w:spacing w:line="240" w:lineRule="exact"/>
              <w:jc w:val="center"/>
              <w:rPr>
                <w:szCs w:val="21"/>
              </w:rPr>
            </w:pPr>
            <w:r>
              <w:rPr>
                <w:rFonts w:hint="eastAsia"/>
                <w:szCs w:val="21"/>
              </w:rPr>
              <w:t>效</w:t>
            </w:r>
            <w:r>
              <w:rPr>
                <w:szCs w:val="21"/>
              </w:rPr>
              <w:t xml:space="preserve"> </w:t>
            </w:r>
            <w:r>
              <w:rPr>
                <w:rFonts w:hint="eastAsia"/>
                <w:szCs w:val="21"/>
              </w:rPr>
              <w:t>果（</w:t>
            </w:r>
            <w:r>
              <w:rPr>
                <w:szCs w:val="21"/>
              </w:rPr>
              <w:t>20</w:t>
            </w:r>
            <w:r>
              <w:rPr>
                <w:rFonts w:hint="eastAsia"/>
                <w:szCs w:val="21"/>
              </w:rPr>
              <w:t>分）</w:t>
            </w:r>
          </w:p>
        </w:tc>
        <w:tc>
          <w:tcPr>
            <w:tcW w:w="264" w:type="pct"/>
            <w:vMerge w:val="restart"/>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szCs w:val="21"/>
              </w:rPr>
            </w:pPr>
            <w:r>
              <w:rPr>
                <w:rFonts w:hint="eastAsia"/>
                <w:szCs w:val="21"/>
              </w:rPr>
              <w:t>履职效益（</w:t>
            </w:r>
            <w:r>
              <w:rPr>
                <w:szCs w:val="21"/>
              </w:rPr>
              <w:t>20</w:t>
            </w:r>
            <w:r>
              <w:rPr>
                <w:rFonts w:hint="eastAsia"/>
                <w:szCs w:val="21"/>
              </w:rPr>
              <w:t>分）</w:t>
            </w:r>
          </w:p>
        </w:tc>
        <w:tc>
          <w:tcPr>
            <w:tcW w:w="423" w:type="pct"/>
            <w:tcBorders>
              <w:top w:val="single" w:color="auto" w:sz="4" w:space="0"/>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经济效益（</w:t>
            </w:r>
            <w:r>
              <w:rPr>
                <w:szCs w:val="21"/>
              </w:rPr>
              <w:t>5</w:t>
            </w:r>
            <w:r>
              <w:rPr>
                <w:rFonts w:hint="eastAsia"/>
                <w:szCs w:val="21"/>
              </w:rPr>
              <w:t>分）</w:t>
            </w:r>
          </w:p>
        </w:tc>
        <w:tc>
          <w:tcPr>
            <w:tcW w:w="1166" w:type="pct"/>
            <w:tcBorders>
              <w:top w:val="single" w:color="auto" w:sz="4" w:space="0"/>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部门（单位）履行职责对经济发展所带来的直接或间接影响。</w:t>
            </w:r>
          </w:p>
        </w:tc>
        <w:tc>
          <w:tcPr>
            <w:tcW w:w="1530" w:type="pct"/>
            <w:vMerge w:val="restart"/>
            <w:tcBorders>
              <w:top w:val="single" w:color="auto" w:sz="4" w:space="0"/>
              <w:left w:val="single" w:color="auto" w:sz="4" w:space="0"/>
              <w:bottom w:val="single" w:color="auto" w:sz="4" w:space="0"/>
              <w:right w:val="single" w:color="auto" w:sz="4" w:space="0"/>
            </w:tcBorders>
            <w:noWrap w:val="0"/>
            <w:vAlign w:val="center"/>
          </w:tcPr>
          <w:p>
            <w:pPr>
              <w:spacing w:line="240" w:lineRule="exact"/>
              <w:rPr>
                <w:szCs w:val="21"/>
              </w:rPr>
            </w:pPr>
            <w:r>
              <w:rPr>
                <w:rFonts w:hint="eastAsia"/>
                <w:szCs w:val="21"/>
              </w:rPr>
              <w:t>此三项指标为部门整体支出绩效评价指标的共性要素，各单位按照部门整体支出绩效目标实现程度为依据。（按经济效益实现程度</w:t>
            </w:r>
            <w:r>
              <w:rPr>
                <w:szCs w:val="21"/>
              </w:rPr>
              <w:t>*5</w:t>
            </w:r>
            <w:r>
              <w:rPr>
                <w:rFonts w:hint="eastAsia"/>
                <w:szCs w:val="21"/>
              </w:rPr>
              <w:t>、社会效益实现程度</w:t>
            </w:r>
            <w:r>
              <w:rPr>
                <w:szCs w:val="21"/>
              </w:rPr>
              <w:t>*5</w:t>
            </w:r>
            <w:r>
              <w:rPr>
                <w:rFonts w:hint="eastAsia"/>
                <w:szCs w:val="21"/>
              </w:rPr>
              <w:t>、生态效益实现程度</w:t>
            </w:r>
            <w:r>
              <w:rPr>
                <w:szCs w:val="21"/>
              </w:rPr>
              <w:t>*5</w:t>
            </w:r>
            <w:r>
              <w:rPr>
                <w:rFonts w:hint="eastAsia"/>
                <w:szCs w:val="21"/>
              </w:rPr>
              <w:t>计算实际得分）</w:t>
            </w:r>
          </w:p>
        </w:tc>
        <w:tc>
          <w:tcPr>
            <w:tcW w:w="365" w:type="pct"/>
            <w:tcBorders>
              <w:top w:val="single" w:color="auto" w:sz="4" w:space="0"/>
              <w:left w:val="nil"/>
              <w:bottom w:val="single" w:color="auto" w:sz="4" w:space="0"/>
              <w:right w:val="single" w:color="auto" w:sz="4" w:space="0"/>
            </w:tcBorders>
            <w:noWrap/>
            <w:vAlign w:val="center"/>
          </w:tcPr>
          <w:p>
            <w:pPr>
              <w:spacing w:line="240" w:lineRule="exact"/>
              <w:jc w:val="center"/>
              <w:rPr>
                <w:rFonts w:hint="default" w:eastAsia="宋体"/>
                <w:szCs w:val="21"/>
                <w:lang w:val="en-US" w:eastAsia="zh-CN"/>
              </w:rPr>
            </w:pPr>
            <w:r>
              <w:rPr>
                <w:rFonts w:hint="eastAsia"/>
                <w:szCs w:val="21"/>
                <w:lang w:val="en-US" w:eastAsia="zh-CN"/>
              </w:rPr>
              <w:t>5</w:t>
            </w:r>
          </w:p>
        </w:tc>
        <w:tc>
          <w:tcPr>
            <w:tcW w:w="472" w:type="pct"/>
            <w:tcBorders>
              <w:top w:val="single" w:color="auto" w:sz="4" w:space="0"/>
              <w:left w:val="nil"/>
              <w:bottom w:val="single" w:color="auto" w:sz="4" w:space="0"/>
              <w:right w:val="single" w:color="auto" w:sz="12" w:space="0"/>
            </w:tcBorders>
            <w:noWrap/>
            <w:vAlign w:val="center"/>
          </w:tcPr>
          <w:p>
            <w:pPr>
              <w:spacing w:line="240" w:lineRule="exact"/>
              <w:jc w:val="center"/>
              <w:rPr>
                <w:rFonts w:hint="eastAsia" w:eastAsia="宋体"/>
                <w:szCs w:val="21"/>
                <w:lang w:eastAsia="zh-CN"/>
              </w:rPr>
            </w:pPr>
            <w:r>
              <w:rPr>
                <w:rFonts w:hint="eastAsia"/>
                <w:szCs w:val="21"/>
                <w:lang w:eastAsia="zh-CN"/>
              </w:rPr>
              <w:t>符合要求</w:t>
            </w:r>
          </w:p>
        </w:tc>
      </w:tr>
      <w:tr>
        <w:tblPrEx>
          <w:tblCellMar>
            <w:top w:w="0" w:type="dxa"/>
            <w:left w:w="28" w:type="dxa"/>
            <w:bottom w:w="0" w:type="dxa"/>
            <w:right w:w="28" w:type="dxa"/>
          </w:tblCellMar>
        </w:tblPrEx>
        <w:trPr>
          <w:trHeight w:val="876" w:hRule="atLeast"/>
          <w:jc w:val="center"/>
        </w:trPr>
        <w:tc>
          <w:tcPr>
            <w:tcW w:w="776" w:type="pct"/>
            <w:vMerge w:val="continue"/>
            <w:tcBorders>
              <w:top w:val="single" w:color="auto" w:sz="4" w:space="0"/>
              <w:left w:val="single" w:color="auto" w:sz="12" w:space="0"/>
              <w:bottom w:val="single" w:color="auto" w:sz="4" w:space="0"/>
              <w:right w:val="single" w:color="auto" w:sz="4" w:space="0"/>
            </w:tcBorders>
            <w:noWrap w:val="0"/>
            <w:vAlign w:val="center"/>
          </w:tcPr>
          <w:p>
            <w:pPr>
              <w:spacing w:line="240" w:lineRule="exact"/>
              <w:jc w:val="center"/>
              <w:rPr>
                <w:szCs w:val="21"/>
              </w:rPr>
            </w:pPr>
          </w:p>
        </w:tc>
        <w:tc>
          <w:tcPr>
            <w:tcW w:w="264" w:type="pct"/>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szCs w:val="21"/>
              </w:rPr>
            </w:pPr>
          </w:p>
        </w:tc>
        <w:tc>
          <w:tcPr>
            <w:tcW w:w="423" w:type="pct"/>
            <w:tcBorders>
              <w:top w:val="single" w:color="auto" w:sz="4" w:space="0"/>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社会效益（</w:t>
            </w:r>
            <w:r>
              <w:rPr>
                <w:szCs w:val="21"/>
              </w:rPr>
              <w:t>5</w:t>
            </w:r>
            <w:r>
              <w:rPr>
                <w:rFonts w:hint="eastAsia"/>
                <w:szCs w:val="21"/>
              </w:rPr>
              <w:t>分）</w:t>
            </w:r>
          </w:p>
        </w:tc>
        <w:tc>
          <w:tcPr>
            <w:tcW w:w="1166" w:type="pct"/>
            <w:tcBorders>
              <w:top w:val="single" w:color="auto" w:sz="4" w:space="0"/>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部门（单位）履行职责对社会发展所带来的直接或间接影响。</w:t>
            </w:r>
          </w:p>
        </w:tc>
        <w:tc>
          <w:tcPr>
            <w:tcW w:w="1530" w:type="pct"/>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rPr>
                <w:szCs w:val="21"/>
              </w:rPr>
            </w:pPr>
          </w:p>
        </w:tc>
        <w:tc>
          <w:tcPr>
            <w:tcW w:w="365" w:type="pct"/>
            <w:tcBorders>
              <w:top w:val="single" w:color="auto" w:sz="4" w:space="0"/>
              <w:left w:val="nil"/>
              <w:bottom w:val="single" w:color="auto" w:sz="4" w:space="0"/>
              <w:right w:val="single" w:color="auto" w:sz="4" w:space="0"/>
            </w:tcBorders>
            <w:noWrap/>
            <w:vAlign w:val="center"/>
          </w:tcPr>
          <w:p>
            <w:pPr>
              <w:spacing w:line="240" w:lineRule="exact"/>
              <w:jc w:val="center"/>
              <w:rPr>
                <w:rFonts w:hint="default" w:eastAsia="宋体"/>
                <w:szCs w:val="21"/>
                <w:lang w:val="en-US" w:eastAsia="zh-CN"/>
              </w:rPr>
            </w:pPr>
            <w:r>
              <w:rPr>
                <w:rFonts w:hint="eastAsia"/>
                <w:szCs w:val="21"/>
                <w:lang w:val="en-US" w:eastAsia="zh-CN"/>
              </w:rPr>
              <w:t>5</w:t>
            </w:r>
          </w:p>
        </w:tc>
        <w:tc>
          <w:tcPr>
            <w:tcW w:w="472" w:type="pct"/>
            <w:tcBorders>
              <w:top w:val="single" w:color="auto" w:sz="4" w:space="0"/>
              <w:left w:val="nil"/>
              <w:bottom w:val="single" w:color="auto" w:sz="4" w:space="0"/>
              <w:right w:val="single" w:color="auto" w:sz="12" w:space="0"/>
            </w:tcBorders>
            <w:noWrap/>
            <w:vAlign w:val="center"/>
          </w:tcPr>
          <w:p>
            <w:pPr>
              <w:spacing w:line="240" w:lineRule="exact"/>
              <w:jc w:val="center"/>
              <w:rPr>
                <w:szCs w:val="21"/>
              </w:rPr>
            </w:pPr>
            <w:r>
              <w:rPr>
                <w:rFonts w:hint="eastAsia"/>
                <w:szCs w:val="21"/>
                <w:lang w:eastAsia="zh-CN"/>
              </w:rPr>
              <w:t>符合要求</w:t>
            </w:r>
          </w:p>
        </w:tc>
      </w:tr>
      <w:tr>
        <w:tblPrEx>
          <w:tblCellMar>
            <w:top w:w="0" w:type="dxa"/>
            <w:left w:w="28" w:type="dxa"/>
            <w:bottom w:w="0" w:type="dxa"/>
            <w:right w:w="28" w:type="dxa"/>
          </w:tblCellMar>
        </w:tblPrEx>
        <w:trPr>
          <w:trHeight w:val="777" w:hRule="atLeast"/>
          <w:jc w:val="center"/>
        </w:trPr>
        <w:tc>
          <w:tcPr>
            <w:tcW w:w="776" w:type="pct"/>
            <w:vMerge w:val="continue"/>
            <w:tcBorders>
              <w:top w:val="single" w:color="auto" w:sz="4" w:space="0"/>
              <w:left w:val="single" w:color="auto" w:sz="12" w:space="0"/>
              <w:bottom w:val="single" w:color="auto" w:sz="4" w:space="0"/>
              <w:right w:val="single" w:color="auto" w:sz="4" w:space="0"/>
            </w:tcBorders>
            <w:noWrap w:val="0"/>
            <w:vAlign w:val="center"/>
          </w:tcPr>
          <w:p>
            <w:pPr>
              <w:spacing w:line="240" w:lineRule="exact"/>
              <w:jc w:val="center"/>
              <w:rPr>
                <w:szCs w:val="21"/>
              </w:rPr>
            </w:pPr>
          </w:p>
        </w:tc>
        <w:tc>
          <w:tcPr>
            <w:tcW w:w="264" w:type="pct"/>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szCs w:val="21"/>
              </w:rPr>
            </w:pPr>
          </w:p>
        </w:tc>
        <w:tc>
          <w:tcPr>
            <w:tcW w:w="423" w:type="pct"/>
            <w:tcBorders>
              <w:top w:val="single" w:color="auto" w:sz="4" w:space="0"/>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生态效益（</w:t>
            </w:r>
            <w:r>
              <w:rPr>
                <w:szCs w:val="21"/>
              </w:rPr>
              <w:t>5</w:t>
            </w:r>
            <w:r>
              <w:rPr>
                <w:rFonts w:hint="eastAsia"/>
                <w:szCs w:val="21"/>
              </w:rPr>
              <w:t>分）</w:t>
            </w:r>
          </w:p>
        </w:tc>
        <w:tc>
          <w:tcPr>
            <w:tcW w:w="1166" w:type="pct"/>
            <w:tcBorders>
              <w:top w:val="single" w:color="auto" w:sz="4" w:space="0"/>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部门（单位）履行职责对生态环境所带来的直接或间接影响。</w:t>
            </w:r>
          </w:p>
        </w:tc>
        <w:tc>
          <w:tcPr>
            <w:tcW w:w="1530" w:type="pct"/>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rPr>
                <w:szCs w:val="21"/>
              </w:rPr>
            </w:pPr>
          </w:p>
        </w:tc>
        <w:tc>
          <w:tcPr>
            <w:tcW w:w="365" w:type="pct"/>
            <w:tcBorders>
              <w:top w:val="single" w:color="auto" w:sz="4" w:space="0"/>
              <w:left w:val="nil"/>
              <w:bottom w:val="single" w:color="auto" w:sz="4" w:space="0"/>
              <w:right w:val="single" w:color="auto" w:sz="4" w:space="0"/>
            </w:tcBorders>
            <w:noWrap/>
            <w:vAlign w:val="center"/>
          </w:tcPr>
          <w:p>
            <w:pPr>
              <w:spacing w:line="240" w:lineRule="exact"/>
              <w:jc w:val="center"/>
              <w:rPr>
                <w:rFonts w:hint="default" w:eastAsia="宋体"/>
                <w:szCs w:val="21"/>
                <w:lang w:val="en-US" w:eastAsia="zh-CN"/>
              </w:rPr>
            </w:pPr>
            <w:r>
              <w:rPr>
                <w:rFonts w:hint="eastAsia"/>
                <w:szCs w:val="21"/>
                <w:lang w:val="en-US" w:eastAsia="zh-CN"/>
              </w:rPr>
              <w:t>5</w:t>
            </w:r>
          </w:p>
        </w:tc>
        <w:tc>
          <w:tcPr>
            <w:tcW w:w="472" w:type="pct"/>
            <w:tcBorders>
              <w:top w:val="single" w:color="auto" w:sz="4" w:space="0"/>
              <w:left w:val="nil"/>
              <w:bottom w:val="single" w:color="auto" w:sz="4" w:space="0"/>
              <w:right w:val="single" w:color="auto" w:sz="12" w:space="0"/>
            </w:tcBorders>
            <w:noWrap/>
            <w:vAlign w:val="center"/>
          </w:tcPr>
          <w:p>
            <w:pPr>
              <w:spacing w:line="240" w:lineRule="exact"/>
              <w:jc w:val="center"/>
              <w:rPr>
                <w:szCs w:val="21"/>
              </w:rPr>
            </w:pPr>
            <w:r>
              <w:rPr>
                <w:rFonts w:hint="eastAsia"/>
                <w:szCs w:val="21"/>
                <w:lang w:eastAsia="zh-CN"/>
              </w:rPr>
              <w:t>符合要求</w:t>
            </w:r>
          </w:p>
        </w:tc>
      </w:tr>
      <w:tr>
        <w:tblPrEx>
          <w:tblCellMar>
            <w:top w:w="0" w:type="dxa"/>
            <w:left w:w="28" w:type="dxa"/>
            <w:bottom w:w="0" w:type="dxa"/>
            <w:right w:w="28" w:type="dxa"/>
          </w:tblCellMar>
        </w:tblPrEx>
        <w:trPr>
          <w:trHeight w:val="1323" w:hRule="atLeast"/>
          <w:jc w:val="center"/>
        </w:trPr>
        <w:tc>
          <w:tcPr>
            <w:tcW w:w="776" w:type="pct"/>
            <w:vMerge w:val="continue"/>
            <w:tcBorders>
              <w:top w:val="single" w:color="auto" w:sz="4" w:space="0"/>
              <w:left w:val="single" w:color="auto" w:sz="12" w:space="0"/>
              <w:bottom w:val="single" w:color="auto" w:sz="4" w:space="0"/>
              <w:right w:val="single" w:color="auto" w:sz="4" w:space="0"/>
            </w:tcBorders>
            <w:noWrap w:val="0"/>
            <w:vAlign w:val="center"/>
          </w:tcPr>
          <w:p>
            <w:pPr>
              <w:spacing w:line="240" w:lineRule="exact"/>
              <w:jc w:val="center"/>
              <w:rPr>
                <w:szCs w:val="21"/>
              </w:rPr>
            </w:pPr>
          </w:p>
        </w:tc>
        <w:tc>
          <w:tcPr>
            <w:tcW w:w="264" w:type="pct"/>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szCs w:val="21"/>
              </w:rPr>
            </w:pPr>
          </w:p>
        </w:tc>
        <w:tc>
          <w:tcPr>
            <w:tcW w:w="423" w:type="pct"/>
            <w:tcBorders>
              <w:top w:val="single" w:color="auto" w:sz="4" w:space="0"/>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社会公众或服务对象满意度（</w:t>
            </w:r>
            <w:r>
              <w:rPr>
                <w:szCs w:val="21"/>
              </w:rPr>
              <w:t>5</w:t>
            </w:r>
            <w:r>
              <w:rPr>
                <w:rFonts w:hint="eastAsia"/>
                <w:szCs w:val="21"/>
              </w:rPr>
              <w:t>分）</w:t>
            </w:r>
          </w:p>
        </w:tc>
        <w:tc>
          <w:tcPr>
            <w:tcW w:w="1166" w:type="pct"/>
            <w:tcBorders>
              <w:top w:val="single" w:color="auto" w:sz="4" w:space="0"/>
              <w:left w:val="nil"/>
              <w:bottom w:val="single" w:color="auto" w:sz="4" w:space="0"/>
              <w:right w:val="single" w:color="auto" w:sz="4" w:space="0"/>
            </w:tcBorders>
            <w:noWrap w:val="0"/>
            <w:vAlign w:val="center"/>
          </w:tcPr>
          <w:p>
            <w:pPr>
              <w:spacing w:line="240" w:lineRule="exact"/>
              <w:rPr>
                <w:szCs w:val="21"/>
              </w:rPr>
            </w:pPr>
            <w:r>
              <w:rPr>
                <w:rFonts w:hint="eastAsia"/>
                <w:szCs w:val="21"/>
              </w:rPr>
              <w:t>社会公众或部门（单位）的服务对象对部门履职效果的满意程度。</w:t>
            </w:r>
          </w:p>
        </w:tc>
        <w:tc>
          <w:tcPr>
            <w:tcW w:w="1530" w:type="pct"/>
            <w:tcBorders>
              <w:top w:val="single" w:color="auto" w:sz="4" w:space="0"/>
              <w:left w:val="nil"/>
              <w:bottom w:val="single" w:color="auto" w:sz="4" w:space="0"/>
              <w:right w:val="single" w:color="auto" w:sz="4" w:space="0"/>
            </w:tcBorders>
            <w:noWrap w:val="0"/>
            <w:vAlign w:val="center"/>
          </w:tcPr>
          <w:p>
            <w:pPr>
              <w:spacing w:line="240" w:lineRule="exact"/>
              <w:rPr>
                <w:szCs w:val="21"/>
              </w:rPr>
            </w:pPr>
            <w:r>
              <w:rPr>
                <w:rFonts w:hint="eastAsia"/>
                <w:szCs w:val="21"/>
              </w:rPr>
              <w:t>社会公众或服务对象是指部门（单位）履行职责而影响到的部门、群体或个人。一般采取社会调查的方式。（按收到的服务对象的满意率计算得分）</w:t>
            </w:r>
          </w:p>
        </w:tc>
        <w:tc>
          <w:tcPr>
            <w:tcW w:w="365" w:type="pct"/>
            <w:tcBorders>
              <w:top w:val="single" w:color="auto" w:sz="4" w:space="0"/>
              <w:left w:val="nil"/>
              <w:bottom w:val="single" w:color="auto" w:sz="4" w:space="0"/>
              <w:right w:val="single" w:color="auto" w:sz="4" w:space="0"/>
            </w:tcBorders>
            <w:noWrap/>
            <w:vAlign w:val="center"/>
          </w:tcPr>
          <w:p>
            <w:pPr>
              <w:spacing w:line="240" w:lineRule="exact"/>
              <w:jc w:val="center"/>
              <w:rPr>
                <w:rFonts w:hint="default" w:eastAsia="宋体"/>
                <w:szCs w:val="21"/>
                <w:lang w:val="en-US" w:eastAsia="zh-CN"/>
              </w:rPr>
            </w:pPr>
            <w:r>
              <w:rPr>
                <w:rFonts w:hint="eastAsia"/>
                <w:szCs w:val="21"/>
                <w:lang w:val="en-US" w:eastAsia="zh-CN"/>
              </w:rPr>
              <w:t>5</w:t>
            </w:r>
          </w:p>
        </w:tc>
        <w:tc>
          <w:tcPr>
            <w:tcW w:w="472" w:type="pct"/>
            <w:tcBorders>
              <w:top w:val="single" w:color="auto" w:sz="4" w:space="0"/>
              <w:left w:val="nil"/>
              <w:bottom w:val="single" w:color="auto" w:sz="4" w:space="0"/>
              <w:right w:val="single" w:color="auto" w:sz="12" w:space="0"/>
            </w:tcBorders>
            <w:noWrap/>
            <w:vAlign w:val="center"/>
          </w:tcPr>
          <w:p>
            <w:pPr>
              <w:spacing w:line="240" w:lineRule="exact"/>
              <w:jc w:val="center"/>
              <w:rPr>
                <w:szCs w:val="21"/>
              </w:rPr>
            </w:pPr>
            <w:r>
              <w:rPr>
                <w:rFonts w:hint="eastAsia"/>
                <w:szCs w:val="21"/>
                <w:lang w:eastAsia="zh-CN"/>
              </w:rPr>
              <w:t>符合要求</w:t>
            </w:r>
          </w:p>
        </w:tc>
      </w:tr>
      <w:tr>
        <w:tblPrEx>
          <w:tblCellMar>
            <w:top w:w="0" w:type="dxa"/>
            <w:left w:w="28" w:type="dxa"/>
            <w:bottom w:w="0" w:type="dxa"/>
            <w:right w:w="28" w:type="dxa"/>
          </w:tblCellMar>
        </w:tblPrEx>
        <w:trPr>
          <w:trHeight w:val="584" w:hRule="atLeast"/>
          <w:jc w:val="center"/>
        </w:trPr>
        <w:tc>
          <w:tcPr>
            <w:tcW w:w="4162" w:type="pct"/>
            <w:gridSpan w:val="5"/>
            <w:tcBorders>
              <w:top w:val="single" w:color="auto" w:sz="4" w:space="0"/>
              <w:left w:val="single" w:color="auto" w:sz="12" w:space="0"/>
              <w:bottom w:val="single" w:color="auto" w:sz="12" w:space="0"/>
              <w:right w:val="single" w:color="auto" w:sz="4" w:space="0"/>
            </w:tcBorders>
            <w:noWrap w:val="0"/>
            <w:vAlign w:val="center"/>
          </w:tcPr>
          <w:p>
            <w:pPr>
              <w:spacing w:line="240" w:lineRule="exact"/>
              <w:jc w:val="center"/>
              <w:rPr>
                <w:szCs w:val="21"/>
              </w:rPr>
            </w:pPr>
            <w:r>
              <w:rPr>
                <w:rFonts w:hint="eastAsia"/>
                <w:szCs w:val="21"/>
              </w:rPr>
              <w:t>合</w:t>
            </w:r>
            <w:r>
              <w:rPr>
                <w:szCs w:val="21"/>
              </w:rPr>
              <w:t xml:space="preserve">      </w:t>
            </w:r>
            <w:r>
              <w:rPr>
                <w:rFonts w:hint="eastAsia"/>
                <w:szCs w:val="21"/>
              </w:rPr>
              <w:t>计</w:t>
            </w:r>
          </w:p>
        </w:tc>
        <w:tc>
          <w:tcPr>
            <w:tcW w:w="365" w:type="pct"/>
            <w:tcBorders>
              <w:top w:val="single" w:color="auto" w:sz="4" w:space="0"/>
              <w:left w:val="nil"/>
              <w:bottom w:val="single" w:color="auto" w:sz="12" w:space="0"/>
              <w:right w:val="single" w:color="auto" w:sz="4" w:space="0"/>
            </w:tcBorders>
            <w:noWrap/>
            <w:vAlign w:val="center"/>
          </w:tcPr>
          <w:p>
            <w:pPr>
              <w:spacing w:line="240" w:lineRule="exact"/>
              <w:jc w:val="center"/>
              <w:rPr>
                <w:rFonts w:hint="default" w:eastAsia="宋体"/>
                <w:szCs w:val="21"/>
                <w:lang w:val="en-US" w:eastAsia="zh-CN"/>
              </w:rPr>
            </w:pPr>
            <w:r>
              <w:rPr>
                <w:rFonts w:hint="eastAsia"/>
                <w:szCs w:val="21"/>
                <w:lang w:val="en-US" w:eastAsia="zh-CN"/>
              </w:rPr>
              <w:t>99</w:t>
            </w:r>
          </w:p>
        </w:tc>
        <w:tc>
          <w:tcPr>
            <w:tcW w:w="472" w:type="pct"/>
            <w:tcBorders>
              <w:top w:val="single" w:color="auto" w:sz="4" w:space="0"/>
              <w:left w:val="nil"/>
              <w:bottom w:val="single" w:color="auto" w:sz="12" w:space="0"/>
              <w:right w:val="single" w:color="auto" w:sz="12" w:space="0"/>
            </w:tcBorders>
            <w:noWrap/>
            <w:vAlign w:val="center"/>
          </w:tcPr>
          <w:p>
            <w:pPr>
              <w:spacing w:line="240" w:lineRule="exact"/>
              <w:jc w:val="center"/>
              <w:rPr>
                <w:szCs w:val="21"/>
              </w:rPr>
            </w:pPr>
          </w:p>
        </w:tc>
      </w:tr>
    </w:tbl>
    <w:p>
      <w:pPr>
        <w:pStyle w:val="3"/>
        <w:spacing w:line="20" w:lineRule="exact"/>
        <w:rPr>
          <w:rFonts w:ascii="宋体"/>
        </w:rPr>
      </w:pPr>
    </w:p>
    <w:p>
      <w:pPr>
        <w:spacing w:line="620" w:lineRule="exact"/>
        <w:jc w:val="left"/>
        <w:rPr>
          <w:rFonts w:eastAsia="方正黑体简体"/>
          <w:color w:val="000000"/>
          <w:kern w:val="0"/>
          <w:sz w:val="32"/>
          <w:szCs w:val="32"/>
        </w:rPr>
        <w:sectPr>
          <w:pgSz w:w="11907" w:h="16840"/>
          <w:pgMar w:top="2098" w:right="1474" w:bottom="1928" w:left="1588" w:header="851" w:footer="992" w:gutter="0"/>
          <w:pgBorders>
            <w:top w:val="none" w:sz="0" w:space="0"/>
            <w:left w:val="none" w:sz="0" w:space="0"/>
            <w:bottom w:val="none" w:sz="0" w:space="0"/>
            <w:right w:val="none" w:sz="0" w:space="0"/>
          </w:pgBorders>
          <w:cols w:space="720" w:num="1"/>
          <w:docGrid w:type="lines" w:linePitch="312" w:charSpace="0"/>
        </w:sectPr>
      </w:pPr>
    </w:p>
    <w:p>
      <w:pPr>
        <w:spacing w:line="620" w:lineRule="exact"/>
        <w:jc w:val="left"/>
        <w:rPr>
          <w:rFonts w:eastAsia="方正黑体简体"/>
          <w:color w:val="000000"/>
          <w:kern w:val="0"/>
          <w:sz w:val="32"/>
          <w:szCs w:val="32"/>
        </w:rPr>
      </w:pPr>
      <w:r>
        <w:rPr>
          <w:rFonts w:hint="eastAsia" w:eastAsia="方正黑体简体"/>
          <w:color w:val="000000"/>
          <w:kern w:val="0"/>
          <w:sz w:val="32"/>
          <w:szCs w:val="32"/>
        </w:rPr>
        <w:t>附件</w:t>
      </w:r>
      <w:r>
        <w:rPr>
          <w:rFonts w:eastAsia="方正黑体简体"/>
          <w:color w:val="000000"/>
          <w:kern w:val="0"/>
          <w:sz w:val="32"/>
          <w:szCs w:val="32"/>
        </w:rPr>
        <w:t>3-2</w:t>
      </w:r>
    </w:p>
    <w:p>
      <w:pPr>
        <w:spacing w:line="620" w:lineRule="exact"/>
        <w:jc w:val="center"/>
        <w:rPr>
          <w:rFonts w:eastAsia="方正小标宋简体"/>
          <w:color w:val="000000"/>
          <w:w w:val="90"/>
          <w:kern w:val="0"/>
          <w:sz w:val="44"/>
          <w:szCs w:val="44"/>
        </w:rPr>
      </w:pPr>
      <w:r>
        <w:rPr>
          <w:rFonts w:eastAsia="方正小标宋简体"/>
          <w:color w:val="000000"/>
          <w:w w:val="90"/>
          <w:kern w:val="0"/>
          <w:sz w:val="44"/>
          <w:szCs w:val="44"/>
        </w:rPr>
        <w:t>202</w:t>
      </w:r>
      <w:r>
        <w:rPr>
          <w:rFonts w:hint="eastAsia" w:eastAsia="方正小标宋简体"/>
          <w:color w:val="000000"/>
          <w:w w:val="90"/>
          <w:kern w:val="0"/>
          <w:sz w:val="44"/>
          <w:szCs w:val="44"/>
        </w:rPr>
        <w:t>2年度乐至县部门整体支出绩效目标完成情况表</w:t>
      </w:r>
    </w:p>
    <w:p>
      <w:pPr>
        <w:pStyle w:val="3"/>
        <w:rPr>
          <w:rFonts w:ascii="宋体"/>
        </w:rPr>
      </w:pPr>
    </w:p>
    <w:tbl>
      <w:tblPr>
        <w:tblStyle w:val="4"/>
        <w:tblW w:w="961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00"/>
        <w:gridCol w:w="922"/>
        <w:gridCol w:w="15"/>
        <w:gridCol w:w="1149"/>
        <w:gridCol w:w="1214"/>
        <w:gridCol w:w="586"/>
        <w:gridCol w:w="1405"/>
        <w:gridCol w:w="1514"/>
        <w:gridCol w:w="300"/>
        <w:gridCol w:w="161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68" w:hRule="atLeast"/>
          <w:jc w:val="center"/>
        </w:trPr>
        <w:tc>
          <w:tcPr>
            <w:tcW w:w="900" w:type="dxa"/>
            <w:tcBorders>
              <w:tl2br w:val="nil"/>
              <w:tr2bl w:val="nil"/>
            </w:tcBorders>
            <w:noWrap/>
            <w:vAlign w:val="center"/>
          </w:tcPr>
          <w:p>
            <w:pPr>
              <w:widowControl/>
              <w:spacing w:line="290" w:lineRule="exact"/>
              <w:jc w:val="center"/>
              <w:rPr>
                <w:color w:val="000000"/>
                <w:kern w:val="0"/>
                <w:szCs w:val="21"/>
              </w:rPr>
            </w:pPr>
            <w:r>
              <w:rPr>
                <w:rFonts w:hint="eastAsia"/>
                <w:color w:val="000000"/>
                <w:kern w:val="0"/>
                <w:szCs w:val="21"/>
              </w:rPr>
              <w:t>部门（单位）名称</w:t>
            </w:r>
          </w:p>
        </w:tc>
        <w:tc>
          <w:tcPr>
            <w:tcW w:w="5291" w:type="dxa"/>
            <w:gridSpan w:val="6"/>
            <w:tcBorders>
              <w:tl2br w:val="nil"/>
              <w:tr2bl w:val="nil"/>
            </w:tcBorders>
            <w:noWrap/>
            <w:vAlign w:val="center"/>
          </w:tcPr>
          <w:p>
            <w:pPr>
              <w:widowControl/>
              <w:spacing w:line="290" w:lineRule="exact"/>
              <w:jc w:val="center"/>
              <w:rPr>
                <w:color w:val="000000"/>
                <w:kern w:val="0"/>
                <w:szCs w:val="21"/>
              </w:rPr>
            </w:pPr>
            <w:r>
              <w:rPr>
                <w:rFonts w:hint="eastAsia"/>
                <w:color w:val="000000"/>
                <w:kern w:val="0"/>
                <w:szCs w:val="21"/>
                <w:lang w:eastAsia="zh-CN"/>
              </w:rPr>
              <w:t>乐至县人民政府南塔街道办事处</w:t>
            </w:r>
            <w:r>
              <w:rPr>
                <w:rFonts w:hint="eastAsia"/>
                <w:color w:val="000000"/>
                <w:kern w:val="0"/>
                <w:szCs w:val="21"/>
              </w:rPr>
              <w:t>　</w:t>
            </w:r>
          </w:p>
        </w:tc>
        <w:tc>
          <w:tcPr>
            <w:tcW w:w="1514" w:type="dxa"/>
            <w:tcBorders>
              <w:tl2br w:val="nil"/>
              <w:tr2bl w:val="nil"/>
            </w:tcBorders>
            <w:noWrap/>
            <w:vAlign w:val="center"/>
          </w:tcPr>
          <w:p>
            <w:pPr>
              <w:widowControl/>
              <w:spacing w:line="290" w:lineRule="exact"/>
              <w:jc w:val="center"/>
              <w:rPr>
                <w:color w:val="000000"/>
                <w:kern w:val="0"/>
                <w:szCs w:val="21"/>
              </w:rPr>
            </w:pPr>
            <w:r>
              <w:rPr>
                <w:rFonts w:hint="eastAsia"/>
                <w:color w:val="000000"/>
                <w:kern w:val="0"/>
                <w:szCs w:val="21"/>
              </w:rPr>
              <w:t>预算单位编码</w:t>
            </w:r>
          </w:p>
        </w:tc>
        <w:tc>
          <w:tcPr>
            <w:tcW w:w="1911" w:type="dxa"/>
            <w:gridSpan w:val="2"/>
            <w:tcBorders>
              <w:tl2br w:val="nil"/>
              <w:tr2bl w:val="nil"/>
            </w:tcBorders>
            <w:noWrap/>
            <w:vAlign w:val="center"/>
          </w:tcPr>
          <w:p>
            <w:pPr>
              <w:widowControl/>
              <w:spacing w:line="29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301001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85" w:hRule="atLeast"/>
          <w:jc w:val="center"/>
        </w:trPr>
        <w:tc>
          <w:tcPr>
            <w:tcW w:w="900" w:type="dxa"/>
            <w:vMerge w:val="restart"/>
            <w:tcBorders>
              <w:tl2br w:val="nil"/>
              <w:tr2bl w:val="nil"/>
            </w:tcBorders>
            <w:noWrap/>
            <w:vAlign w:val="center"/>
          </w:tcPr>
          <w:p>
            <w:pPr>
              <w:widowControl/>
              <w:spacing w:line="290" w:lineRule="exact"/>
              <w:jc w:val="center"/>
              <w:rPr>
                <w:color w:val="000000"/>
                <w:kern w:val="0"/>
                <w:szCs w:val="21"/>
              </w:rPr>
            </w:pPr>
            <w:r>
              <w:rPr>
                <w:rFonts w:hint="eastAsia"/>
                <w:color w:val="000000"/>
                <w:kern w:val="0"/>
                <w:szCs w:val="21"/>
              </w:rPr>
              <w:t>预算执行情况</w:t>
            </w:r>
          </w:p>
        </w:tc>
        <w:tc>
          <w:tcPr>
            <w:tcW w:w="937" w:type="dxa"/>
            <w:gridSpan w:val="2"/>
            <w:tcBorders>
              <w:tl2br w:val="nil"/>
              <w:tr2bl w:val="nil"/>
            </w:tcBorders>
            <w:noWrap/>
            <w:vAlign w:val="center"/>
          </w:tcPr>
          <w:p>
            <w:pPr>
              <w:widowControl/>
              <w:spacing w:line="290" w:lineRule="exact"/>
              <w:jc w:val="center"/>
              <w:rPr>
                <w:color w:val="000000"/>
                <w:kern w:val="0"/>
                <w:szCs w:val="21"/>
              </w:rPr>
            </w:pPr>
            <w:r>
              <w:rPr>
                <w:rFonts w:hint="eastAsia"/>
                <w:color w:val="000000"/>
                <w:kern w:val="0"/>
                <w:szCs w:val="21"/>
              </w:rPr>
              <w:t>项目</w:t>
            </w:r>
          </w:p>
        </w:tc>
        <w:tc>
          <w:tcPr>
            <w:tcW w:w="1149" w:type="dxa"/>
            <w:tcBorders>
              <w:tl2br w:val="nil"/>
              <w:tr2bl w:val="nil"/>
            </w:tcBorders>
            <w:noWrap/>
            <w:vAlign w:val="center"/>
          </w:tcPr>
          <w:p>
            <w:pPr>
              <w:widowControl/>
              <w:spacing w:line="290" w:lineRule="exact"/>
              <w:jc w:val="center"/>
              <w:rPr>
                <w:color w:val="000000"/>
                <w:kern w:val="0"/>
                <w:szCs w:val="21"/>
              </w:rPr>
            </w:pPr>
            <w:r>
              <w:rPr>
                <w:rFonts w:hint="eastAsia"/>
                <w:color w:val="000000"/>
                <w:kern w:val="0"/>
                <w:szCs w:val="21"/>
              </w:rPr>
              <w:t>预算额</w:t>
            </w:r>
            <w:r>
              <w:rPr>
                <w:color w:val="000000"/>
                <w:kern w:val="0"/>
                <w:szCs w:val="21"/>
              </w:rPr>
              <w:t>(</w:t>
            </w:r>
            <w:r>
              <w:rPr>
                <w:rFonts w:hint="eastAsia"/>
                <w:color w:val="000000"/>
                <w:kern w:val="0"/>
                <w:szCs w:val="21"/>
              </w:rPr>
              <w:t>万元</w:t>
            </w:r>
            <w:r>
              <w:rPr>
                <w:color w:val="000000"/>
                <w:kern w:val="0"/>
                <w:szCs w:val="21"/>
              </w:rPr>
              <w:t>)</w:t>
            </w:r>
          </w:p>
        </w:tc>
        <w:tc>
          <w:tcPr>
            <w:tcW w:w="1214" w:type="dxa"/>
            <w:tcBorders>
              <w:tl2br w:val="nil"/>
              <w:tr2bl w:val="nil"/>
            </w:tcBorders>
            <w:noWrap/>
            <w:vAlign w:val="center"/>
          </w:tcPr>
          <w:p>
            <w:pPr>
              <w:widowControl/>
              <w:spacing w:line="290" w:lineRule="exact"/>
              <w:jc w:val="center"/>
              <w:rPr>
                <w:color w:val="000000"/>
                <w:kern w:val="0"/>
                <w:szCs w:val="21"/>
              </w:rPr>
            </w:pPr>
            <w:r>
              <w:rPr>
                <w:rFonts w:hint="eastAsia"/>
                <w:color w:val="000000"/>
                <w:kern w:val="0"/>
                <w:szCs w:val="21"/>
              </w:rPr>
              <w:t>执行额</w:t>
            </w:r>
            <w:r>
              <w:rPr>
                <w:color w:val="000000"/>
                <w:kern w:val="0"/>
                <w:szCs w:val="21"/>
              </w:rPr>
              <w:t>(</w:t>
            </w:r>
            <w:r>
              <w:rPr>
                <w:rFonts w:hint="eastAsia"/>
                <w:color w:val="000000"/>
                <w:kern w:val="0"/>
                <w:szCs w:val="21"/>
              </w:rPr>
              <w:t>万元</w:t>
            </w:r>
            <w:r>
              <w:rPr>
                <w:color w:val="000000"/>
                <w:kern w:val="0"/>
                <w:szCs w:val="21"/>
              </w:rPr>
              <w:t>)</w:t>
            </w:r>
          </w:p>
        </w:tc>
        <w:tc>
          <w:tcPr>
            <w:tcW w:w="1991" w:type="dxa"/>
            <w:gridSpan w:val="2"/>
            <w:tcBorders>
              <w:tl2br w:val="nil"/>
              <w:tr2bl w:val="nil"/>
            </w:tcBorders>
            <w:noWrap/>
            <w:vAlign w:val="center"/>
          </w:tcPr>
          <w:p>
            <w:pPr>
              <w:widowControl/>
              <w:spacing w:line="29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rPr>
              <w:t>万元</w:t>
            </w:r>
            <w:r>
              <w:rPr>
                <w:color w:val="000000"/>
                <w:kern w:val="0"/>
                <w:szCs w:val="21"/>
              </w:rPr>
              <w:t>)</w:t>
            </w:r>
          </w:p>
        </w:tc>
        <w:tc>
          <w:tcPr>
            <w:tcW w:w="1514" w:type="dxa"/>
            <w:tcBorders>
              <w:tl2br w:val="nil"/>
              <w:tr2bl w:val="nil"/>
            </w:tcBorders>
            <w:noWrap/>
            <w:vAlign w:val="center"/>
          </w:tcPr>
          <w:p>
            <w:pPr>
              <w:widowControl/>
              <w:spacing w:line="290" w:lineRule="exact"/>
              <w:jc w:val="center"/>
              <w:rPr>
                <w:color w:val="000000"/>
                <w:kern w:val="0"/>
                <w:szCs w:val="21"/>
              </w:rPr>
            </w:pPr>
            <w:r>
              <w:rPr>
                <w:rFonts w:hint="eastAsia"/>
                <w:color w:val="000000"/>
                <w:kern w:val="0"/>
                <w:szCs w:val="21"/>
              </w:rPr>
              <w:t>结转结余率</w:t>
            </w:r>
            <w:r>
              <w:rPr>
                <w:color w:val="000000"/>
                <w:kern w:val="0"/>
                <w:szCs w:val="21"/>
              </w:rPr>
              <w:t>%</w:t>
            </w:r>
          </w:p>
        </w:tc>
        <w:tc>
          <w:tcPr>
            <w:tcW w:w="1911" w:type="dxa"/>
            <w:gridSpan w:val="2"/>
            <w:tcBorders>
              <w:tl2br w:val="nil"/>
              <w:tr2bl w:val="nil"/>
            </w:tcBorders>
            <w:noWrap/>
            <w:vAlign w:val="center"/>
          </w:tcPr>
          <w:p>
            <w:pPr>
              <w:widowControl/>
              <w:spacing w:line="290" w:lineRule="exact"/>
              <w:jc w:val="center"/>
              <w:rPr>
                <w:color w:val="000000"/>
                <w:kern w:val="0"/>
                <w:szCs w:val="21"/>
              </w:rPr>
            </w:pPr>
            <w:r>
              <w:rPr>
                <w:rFonts w:hint="eastAsia"/>
                <w:color w:val="000000"/>
                <w:kern w:val="0"/>
                <w:szCs w:val="21"/>
              </w:rPr>
              <w:t>结转结余变动率</w:t>
            </w:r>
            <w:r>
              <w:rPr>
                <w:color w:val="000000"/>
                <w:kern w:val="0"/>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8" w:hRule="atLeast"/>
          <w:jc w:val="center"/>
        </w:trPr>
        <w:tc>
          <w:tcPr>
            <w:tcW w:w="900" w:type="dxa"/>
            <w:vMerge w:val="continue"/>
            <w:tcBorders>
              <w:tl2br w:val="nil"/>
              <w:tr2bl w:val="nil"/>
            </w:tcBorders>
            <w:noWrap w:val="0"/>
            <w:vAlign w:val="center"/>
          </w:tcPr>
          <w:p>
            <w:pPr>
              <w:widowControl/>
              <w:spacing w:line="290" w:lineRule="exact"/>
              <w:jc w:val="left"/>
              <w:rPr>
                <w:color w:val="000000"/>
                <w:kern w:val="0"/>
                <w:szCs w:val="21"/>
              </w:rPr>
            </w:pPr>
          </w:p>
        </w:tc>
        <w:tc>
          <w:tcPr>
            <w:tcW w:w="937" w:type="dxa"/>
            <w:gridSpan w:val="2"/>
            <w:tcBorders>
              <w:tl2br w:val="nil"/>
              <w:tr2bl w:val="nil"/>
            </w:tcBorders>
            <w:noWrap/>
            <w:vAlign w:val="center"/>
          </w:tcPr>
          <w:p>
            <w:pPr>
              <w:widowControl/>
              <w:spacing w:line="290" w:lineRule="exact"/>
              <w:jc w:val="center"/>
              <w:rPr>
                <w:color w:val="000000"/>
                <w:kern w:val="0"/>
                <w:szCs w:val="21"/>
              </w:rPr>
            </w:pPr>
            <w:r>
              <w:rPr>
                <w:rFonts w:hint="eastAsia"/>
                <w:color w:val="000000"/>
                <w:kern w:val="0"/>
                <w:szCs w:val="21"/>
              </w:rPr>
              <w:t>合计</w:t>
            </w:r>
          </w:p>
        </w:tc>
        <w:tc>
          <w:tcPr>
            <w:tcW w:w="1149" w:type="dxa"/>
            <w:tcBorders>
              <w:tl2br w:val="nil"/>
              <w:tr2bl w:val="nil"/>
            </w:tcBorders>
            <w:noWrap/>
            <w:vAlign w:val="center"/>
          </w:tcPr>
          <w:p>
            <w:pPr>
              <w:widowControl/>
              <w:spacing w:line="290" w:lineRule="exact"/>
              <w:jc w:val="center"/>
              <w:rPr>
                <w:rFonts w:hint="default" w:eastAsia="宋体"/>
                <w:color w:val="000000"/>
                <w:kern w:val="0"/>
                <w:szCs w:val="21"/>
                <w:lang w:val="en-US" w:eastAsia="zh-CN"/>
              </w:rPr>
            </w:pPr>
            <w:r>
              <w:rPr>
                <w:rFonts w:hint="eastAsia"/>
                <w:color w:val="000000"/>
                <w:kern w:val="0"/>
                <w:szCs w:val="21"/>
                <w:lang w:val="en-US" w:eastAsia="zh-CN"/>
              </w:rPr>
              <w:t>1685.77</w:t>
            </w:r>
          </w:p>
        </w:tc>
        <w:tc>
          <w:tcPr>
            <w:tcW w:w="1214" w:type="dxa"/>
            <w:tcBorders>
              <w:tl2br w:val="nil"/>
              <w:tr2bl w:val="nil"/>
            </w:tcBorders>
            <w:noWrap/>
            <w:vAlign w:val="center"/>
          </w:tcPr>
          <w:p>
            <w:pPr>
              <w:widowControl/>
              <w:spacing w:line="290" w:lineRule="exact"/>
              <w:jc w:val="center"/>
              <w:rPr>
                <w:rFonts w:hint="default" w:eastAsia="宋体"/>
                <w:color w:val="000000"/>
                <w:kern w:val="0"/>
                <w:szCs w:val="21"/>
                <w:lang w:val="en-US" w:eastAsia="zh-CN"/>
              </w:rPr>
            </w:pPr>
            <w:r>
              <w:rPr>
                <w:rFonts w:hint="eastAsia"/>
                <w:color w:val="000000"/>
                <w:kern w:val="0"/>
                <w:szCs w:val="21"/>
                <w:lang w:val="en-US" w:eastAsia="zh-CN"/>
              </w:rPr>
              <w:t>6573.01</w:t>
            </w:r>
          </w:p>
        </w:tc>
        <w:tc>
          <w:tcPr>
            <w:tcW w:w="1991" w:type="dxa"/>
            <w:gridSpan w:val="2"/>
            <w:tcBorders>
              <w:tl2br w:val="nil"/>
              <w:tr2bl w:val="nil"/>
            </w:tcBorders>
            <w:noWrap/>
            <w:vAlign w:val="center"/>
          </w:tcPr>
          <w:p>
            <w:pPr>
              <w:widowControl/>
              <w:spacing w:line="290" w:lineRule="exact"/>
              <w:jc w:val="center"/>
              <w:rPr>
                <w:rFonts w:hint="eastAsia" w:eastAsia="宋体"/>
                <w:color w:val="000000"/>
                <w:kern w:val="0"/>
                <w:szCs w:val="21"/>
                <w:lang w:val="en-US" w:eastAsia="zh-CN"/>
              </w:rPr>
            </w:pPr>
            <w:r>
              <w:rPr>
                <w:rFonts w:hint="eastAsia"/>
                <w:color w:val="000000"/>
                <w:kern w:val="0"/>
                <w:szCs w:val="21"/>
                <w:lang w:val="en-US" w:eastAsia="zh-CN"/>
              </w:rPr>
              <w:t>0</w:t>
            </w:r>
          </w:p>
        </w:tc>
        <w:tc>
          <w:tcPr>
            <w:tcW w:w="1514" w:type="dxa"/>
            <w:tcBorders>
              <w:tl2br w:val="nil"/>
              <w:tr2bl w:val="nil"/>
            </w:tcBorders>
            <w:noWrap/>
            <w:vAlign w:val="center"/>
          </w:tcPr>
          <w:p>
            <w:pPr>
              <w:widowControl/>
              <w:spacing w:line="290" w:lineRule="exact"/>
              <w:jc w:val="center"/>
              <w:rPr>
                <w:rFonts w:hint="eastAsia" w:eastAsia="宋体"/>
                <w:color w:val="000000"/>
                <w:kern w:val="0"/>
                <w:szCs w:val="21"/>
                <w:lang w:val="en-US" w:eastAsia="zh-CN"/>
              </w:rPr>
            </w:pPr>
            <w:r>
              <w:rPr>
                <w:rFonts w:hint="eastAsia"/>
                <w:color w:val="000000"/>
                <w:kern w:val="0"/>
                <w:szCs w:val="21"/>
                <w:lang w:val="en-US" w:eastAsia="zh-CN"/>
              </w:rPr>
              <w:t>0</w:t>
            </w:r>
          </w:p>
        </w:tc>
        <w:tc>
          <w:tcPr>
            <w:tcW w:w="1911" w:type="dxa"/>
            <w:gridSpan w:val="2"/>
            <w:tcBorders>
              <w:tl2br w:val="nil"/>
              <w:tr2bl w:val="nil"/>
            </w:tcBorders>
            <w:noWrap/>
            <w:vAlign w:val="center"/>
          </w:tcPr>
          <w:p>
            <w:pPr>
              <w:widowControl/>
              <w:spacing w:line="290" w:lineRule="exact"/>
              <w:jc w:val="center"/>
              <w:rPr>
                <w:rFonts w:hint="eastAsia" w:eastAsia="宋体"/>
                <w:color w:val="000000"/>
                <w:kern w:val="0"/>
                <w:szCs w:val="21"/>
                <w:lang w:val="en-US" w:eastAsia="zh-CN"/>
              </w:rPr>
            </w:pP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78" w:hRule="atLeast"/>
          <w:jc w:val="center"/>
        </w:trPr>
        <w:tc>
          <w:tcPr>
            <w:tcW w:w="900" w:type="dxa"/>
            <w:vMerge w:val="continue"/>
            <w:tcBorders>
              <w:tl2br w:val="nil"/>
              <w:tr2bl w:val="nil"/>
            </w:tcBorders>
            <w:noWrap w:val="0"/>
            <w:vAlign w:val="center"/>
          </w:tcPr>
          <w:p>
            <w:pPr>
              <w:widowControl/>
              <w:spacing w:line="290" w:lineRule="exact"/>
              <w:jc w:val="left"/>
              <w:rPr>
                <w:color w:val="000000"/>
                <w:kern w:val="0"/>
                <w:szCs w:val="21"/>
              </w:rPr>
            </w:pPr>
          </w:p>
        </w:tc>
        <w:tc>
          <w:tcPr>
            <w:tcW w:w="937" w:type="dxa"/>
            <w:gridSpan w:val="2"/>
            <w:tcBorders>
              <w:tl2br w:val="nil"/>
              <w:tr2bl w:val="nil"/>
            </w:tcBorders>
            <w:noWrap/>
            <w:vAlign w:val="center"/>
          </w:tcPr>
          <w:p>
            <w:pPr>
              <w:widowControl/>
              <w:spacing w:line="290" w:lineRule="exact"/>
              <w:jc w:val="center"/>
              <w:rPr>
                <w:color w:val="000000"/>
                <w:kern w:val="0"/>
                <w:szCs w:val="21"/>
              </w:rPr>
            </w:pPr>
            <w:r>
              <w:rPr>
                <w:rFonts w:hint="eastAsia"/>
                <w:color w:val="000000"/>
                <w:kern w:val="0"/>
                <w:szCs w:val="21"/>
              </w:rPr>
              <w:t>基本支出</w:t>
            </w:r>
          </w:p>
        </w:tc>
        <w:tc>
          <w:tcPr>
            <w:tcW w:w="1149" w:type="dxa"/>
            <w:tcBorders>
              <w:tl2br w:val="nil"/>
              <w:tr2bl w:val="nil"/>
            </w:tcBorders>
            <w:noWrap/>
            <w:vAlign w:val="center"/>
          </w:tcPr>
          <w:p>
            <w:pPr>
              <w:widowControl/>
              <w:spacing w:line="290" w:lineRule="exact"/>
              <w:jc w:val="center"/>
              <w:rPr>
                <w:rFonts w:hint="default" w:eastAsia="宋体"/>
                <w:color w:val="000000"/>
                <w:kern w:val="0"/>
                <w:szCs w:val="21"/>
                <w:lang w:val="en-US" w:eastAsia="zh-CN"/>
              </w:rPr>
            </w:pPr>
            <w:r>
              <w:rPr>
                <w:rFonts w:hint="eastAsia"/>
                <w:color w:val="000000"/>
                <w:kern w:val="0"/>
                <w:szCs w:val="21"/>
                <w:lang w:val="en-US" w:eastAsia="zh-CN"/>
              </w:rPr>
              <w:t>1685.77</w:t>
            </w:r>
          </w:p>
        </w:tc>
        <w:tc>
          <w:tcPr>
            <w:tcW w:w="1214" w:type="dxa"/>
            <w:tcBorders>
              <w:tl2br w:val="nil"/>
              <w:tr2bl w:val="nil"/>
            </w:tcBorders>
            <w:noWrap/>
            <w:vAlign w:val="center"/>
          </w:tcPr>
          <w:p>
            <w:pPr>
              <w:widowControl/>
              <w:spacing w:line="290" w:lineRule="exact"/>
              <w:jc w:val="center"/>
              <w:rPr>
                <w:color w:val="000000"/>
                <w:kern w:val="0"/>
                <w:szCs w:val="21"/>
              </w:rPr>
            </w:pPr>
            <w:r>
              <w:rPr>
                <w:rFonts w:hint="eastAsia"/>
                <w:color w:val="000000"/>
                <w:kern w:val="0"/>
                <w:szCs w:val="21"/>
                <w:lang w:val="en-US" w:eastAsia="zh-CN"/>
              </w:rPr>
              <w:t>1929.40</w:t>
            </w:r>
          </w:p>
        </w:tc>
        <w:tc>
          <w:tcPr>
            <w:tcW w:w="1991" w:type="dxa"/>
            <w:gridSpan w:val="2"/>
            <w:tcBorders>
              <w:tl2br w:val="nil"/>
              <w:tr2bl w:val="nil"/>
            </w:tcBorders>
            <w:noWrap/>
            <w:vAlign w:val="center"/>
          </w:tcPr>
          <w:p>
            <w:pPr>
              <w:widowControl/>
              <w:spacing w:line="290" w:lineRule="exact"/>
              <w:jc w:val="center"/>
              <w:rPr>
                <w:rFonts w:hint="eastAsia" w:eastAsia="宋体"/>
                <w:color w:val="000000"/>
                <w:kern w:val="0"/>
                <w:szCs w:val="21"/>
                <w:lang w:val="en-US" w:eastAsia="zh-CN"/>
              </w:rPr>
            </w:pPr>
            <w:r>
              <w:rPr>
                <w:rFonts w:hint="eastAsia"/>
                <w:color w:val="000000"/>
                <w:kern w:val="0"/>
                <w:szCs w:val="21"/>
                <w:lang w:val="en-US" w:eastAsia="zh-CN"/>
              </w:rPr>
              <w:t>0</w:t>
            </w:r>
          </w:p>
        </w:tc>
        <w:tc>
          <w:tcPr>
            <w:tcW w:w="1514" w:type="dxa"/>
            <w:tcBorders>
              <w:tl2br w:val="nil"/>
              <w:tr2bl w:val="nil"/>
            </w:tcBorders>
            <w:noWrap/>
            <w:vAlign w:val="center"/>
          </w:tcPr>
          <w:p>
            <w:pPr>
              <w:widowControl/>
              <w:spacing w:line="290" w:lineRule="exact"/>
              <w:jc w:val="center"/>
              <w:rPr>
                <w:rFonts w:hint="eastAsia" w:eastAsia="宋体"/>
                <w:color w:val="000000"/>
                <w:kern w:val="0"/>
                <w:szCs w:val="21"/>
                <w:lang w:val="en-US" w:eastAsia="zh-CN"/>
              </w:rPr>
            </w:pPr>
            <w:r>
              <w:rPr>
                <w:rFonts w:hint="eastAsia"/>
                <w:color w:val="000000"/>
                <w:kern w:val="0"/>
                <w:szCs w:val="21"/>
                <w:lang w:val="en-US" w:eastAsia="zh-CN"/>
              </w:rPr>
              <w:t>0</w:t>
            </w:r>
          </w:p>
        </w:tc>
        <w:tc>
          <w:tcPr>
            <w:tcW w:w="1911" w:type="dxa"/>
            <w:gridSpan w:val="2"/>
            <w:tcBorders>
              <w:tl2br w:val="nil"/>
              <w:tr2bl w:val="nil"/>
            </w:tcBorders>
            <w:noWrap/>
            <w:vAlign w:val="center"/>
          </w:tcPr>
          <w:p>
            <w:pPr>
              <w:widowControl/>
              <w:spacing w:line="290" w:lineRule="exact"/>
              <w:jc w:val="center"/>
              <w:rPr>
                <w:rFonts w:hint="eastAsia" w:eastAsia="宋体"/>
                <w:color w:val="000000"/>
                <w:kern w:val="0"/>
                <w:szCs w:val="21"/>
                <w:lang w:val="en-US" w:eastAsia="zh-CN"/>
              </w:rPr>
            </w:pP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0" w:hRule="atLeast"/>
          <w:jc w:val="center"/>
        </w:trPr>
        <w:tc>
          <w:tcPr>
            <w:tcW w:w="900" w:type="dxa"/>
            <w:vMerge w:val="continue"/>
            <w:tcBorders>
              <w:tl2br w:val="nil"/>
              <w:tr2bl w:val="nil"/>
            </w:tcBorders>
            <w:noWrap w:val="0"/>
            <w:vAlign w:val="center"/>
          </w:tcPr>
          <w:p>
            <w:pPr>
              <w:widowControl/>
              <w:spacing w:line="290" w:lineRule="exact"/>
              <w:jc w:val="left"/>
              <w:rPr>
                <w:color w:val="000000"/>
                <w:kern w:val="0"/>
                <w:szCs w:val="21"/>
              </w:rPr>
            </w:pPr>
          </w:p>
        </w:tc>
        <w:tc>
          <w:tcPr>
            <w:tcW w:w="937" w:type="dxa"/>
            <w:gridSpan w:val="2"/>
            <w:tcBorders>
              <w:tl2br w:val="nil"/>
              <w:tr2bl w:val="nil"/>
            </w:tcBorders>
            <w:noWrap/>
            <w:vAlign w:val="center"/>
          </w:tcPr>
          <w:p>
            <w:pPr>
              <w:widowControl/>
              <w:spacing w:line="290" w:lineRule="exact"/>
              <w:jc w:val="center"/>
              <w:rPr>
                <w:color w:val="000000"/>
                <w:kern w:val="0"/>
                <w:szCs w:val="21"/>
              </w:rPr>
            </w:pPr>
            <w:r>
              <w:rPr>
                <w:rFonts w:hint="eastAsia"/>
                <w:color w:val="000000"/>
                <w:kern w:val="0"/>
                <w:szCs w:val="21"/>
              </w:rPr>
              <w:t>政策和项目支出</w:t>
            </w:r>
          </w:p>
        </w:tc>
        <w:tc>
          <w:tcPr>
            <w:tcW w:w="1149" w:type="dxa"/>
            <w:tcBorders>
              <w:tl2br w:val="nil"/>
              <w:tr2bl w:val="nil"/>
            </w:tcBorders>
            <w:noWrap/>
            <w:vAlign w:val="center"/>
          </w:tcPr>
          <w:p>
            <w:pPr>
              <w:widowControl/>
              <w:spacing w:line="290" w:lineRule="exact"/>
              <w:jc w:val="center"/>
              <w:rPr>
                <w:rFonts w:hint="default" w:eastAsia="宋体"/>
                <w:color w:val="000000"/>
                <w:kern w:val="0"/>
                <w:szCs w:val="21"/>
                <w:lang w:val="en-US" w:eastAsia="zh-CN"/>
              </w:rPr>
            </w:pPr>
            <w:r>
              <w:rPr>
                <w:rFonts w:hint="eastAsia"/>
                <w:color w:val="000000"/>
                <w:kern w:val="0"/>
                <w:szCs w:val="21"/>
                <w:lang w:val="en-US" w:eastAsia="zh-CN"/>
              </w:rPr>
              <w:t>0</w:t>
            </w:r>
          </w:p>
        </w:tc>
        <w:tc>
          <w:tcPr>
            <w:tcW w:w="1214" w:type="dxa"/>
            <w:tcBorders>
              <w:tl2br w:val="nil"/>
              <w:tr2bl w:val="nil"/>
            </w:tcBorders>
            <w:noWrap/>
            <w:vAlign w:val="center"/>
          </w:tcPr>
          <w:p>
            <w:pPr>
              <w:widowControl/>
              <w:spacing w:line="290" w:lineRule="exact"/>
              <w:jc w:val="center"/>
              <w:rPr>
                <w:color w:val="000000"/>
                <w:kern w:val="0"/>
                <w:szCs w:val="21"/>
              </w:rPr>
            </w:pPr>
            <w:r>
              <w:rPr>
                <w:rFonts w:hint="eastAsia"/>
                <w:color w:val="000000"/>
                <w:kern w:val="0"/>
                <w:szCs w:val="21"/>
                <w:lang w:val="en-US" w:eastAsia="zh-CN"/>
              </w:rPr>
              <w:t>4643.61</w:t>
            </w:r>
          </w:p>
        </w:tc>
        <w:tc>
          <w:tcPr>
            <w:tcW w:w="1991" w:type="dxa"/>
            <w:gridSpan w:val="2"/>
            <w:tcBorders>
              <w:tl2br w:val="nil"/>
              <w:tr2bl w:val="nil"/>
            </w:tcBorders>
            <w:noWrap/>
            <w:vAlign w:val="center"/>
          </w:tcPr>
          <w:p>
            <w:pPr>
              <w:widowControl/>
              <w:spacing w:line="290" w:lineRule="exact"/>
              <w:jc w:val="center"/>
              <w:rPr>
                <w:rFonts w:hint="eastAsia" w:eastAsia="宋体"/>
                <w:color w:val="000000"/>
                <w:kern w:val="0"/>
                <w:szCs w:val="21"/>
                <w:lang w:val="en-US" w:eastAsia="zh-CN"/>
              </w:rPr>
            </w:pPr>
            <w:r>
              <w:rPr>
                <w:rFonts w:hint="eastAsia"/>
                <w:color w:val="000000"/>
                <w:kern w:val="0"/>
                <w:szCs w:val="21"/>
                <w:lang w:val="en-US" w:eastAsia="zh-CN"/>
              </w:rPr>
              <w:t>0</w:t>
            </w:r>
          </w:p>
        </w:tc>
        <w:tc>
          <w:tcPr>
            <w:tcW w:w="1514" w:type="dxa"/>
            <w:tcBorders>
              <w:tl2br w:val="nil"/>
              <w:tr2bl w:val="nil"/>
            </w:tcBorders>
            <w:noWrap/>
            <w:vAlign w:val="center"/>
          </w:tcPr>
          <w:p>
            <w:pPr>
              <w:widowControl/>
              <w:spacing w:line="290" w:lineRule="exact"/>
              <w:jc w:val="center"/>
              <w:rPr>
                <w:rFonts w:hint="eastAsia" w:eastAsia="宋体"/>
                <w:color w:val="000000"/>
                <w:kern w:val="0"/>
                <w:szCs w:val="21"/>
                <w:lang w:val="en-US" w:eastAsia="zh-CN"/>
              </w:rPr>
            </w:pPr>
            <w:r>
              <w:rPr>
                <w:rFonts w:hint="eastAsia"/>
                <w:color w:val="000000"/>
                <w:kern w:val="0"/>
                <w:szCs w:val="21"/>
                <w:lang w:val="en-US" w:eastAsia="zh-CN"/>
              </w:rPr>
              <w:t>0</w:t>
            </w:r>
          </w:p>
        </w:tc>
        <w:tc>
          <w:tcPr>
            <w:tcW w:w="1911" w:type="dxa"/>
            <w:gridSpan w:val="2"/>
            <w:tcBorders>
              <w:tl2br w:val="nil"/>
              <w:tr2bl w:val="nil"/>
            </w:tcBorders>
            <w:noWrap/>
            <w:vAlign w:val="center"/>
          </w:tcPr>
          <w:p>
            <w:pPr>
              <w:widowControl/>
              <w:spacing w:line="290" w:lineRule="exact"/>
              <w:jc w:val="center"/>
              <w:rPr>
                <w:rFonts w:hint="eastAsia" w:eastAsia="宋体"/>
                <w:color w:val="000000"/>
                <w:kern w:val="0"/>
                <w:szCs w:val="21"/>
                <w:lang w:val="en-US" w:eastAsia="zh-CN"/>
              </w:rPr>
            </w:pP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34" w:hRule="atLeast"/>
          <w:jc w:val="center"/>
        </w:trPr>
        <w:tc>
          <w:tcPr>
            <w:tcW w:w="900" w:type="dxa"/>
            <w:vMerge w:val="restart"/>
            <w:tcBorders>
              <w:tl2br w:val="nil"/>
              <w:tr2bl w:val="nil"/>
            </w:tcBorders>
            <w:noWrap/>
            <w:vAlign w:val="center"/>
          </w:tcPr>
          <w:p>
            <w:pPr>
              <w:widowControl/>
              <w:spacing w:line="290" w:lineRule="exact"/>
              <w:jc w:val="center"/>
              <w:rPr>
                <w:color w:val="000000"/>
                <w:kern w:val="0"/>
                <w:szCs w:val="21"/>
              </w:rPr>
            </w:pPr>
            <w:r>
              <w:rPr>
                <w:rFonts w:hint="eastAsia"/>
                <w:color w:val="000000"/>
                <w:kern w:val="0"/>
                <w:szCs w:val="21"/>
              </w:rPr>
              <w:t>预算</w:t>
            </w:r>
          </w:p>
          <w:p>
            <w:pPr>
              <w:widowControl/>
              <w:spacing w:line="290" w:lineRule="exact"/>
              <w:jc w:val="center"/>
              <w:rPr>
                <w:color w:val="000000"/>
                <w:kern w:val="0"/>
                <w:szCs w:val="21"/>
              </w:rPr>
            </w:pPr>
            <w:r>
              <w:rPr>
                <w:rFonts w:hint="eastAsia"/>
                <w:color w:val="000000"/>
                <w:kern w:val="0"/>
                <w:szCs w:val="21"/>
              </w:rPr>
              <w:t>结构</w:t>
            </w:r>
          </w:p>
        </w:tc>
        <w:tc>
          <w:tcPr>
            <w:tcW w:w="937" w:type="dxa"/>
            <w:gridSpan w:val="2"/>
            <w:tcBorders>
              <w:tl2br w:val="nil"/>
              <w:tr2bl w:val="nil"/>
            </w:tcBorders>
            <w:noWrap/>
            <w:vAlign w:val="center"/>
          </w:tcPr>
          <w:p>
            <w:pPr>
              <w:widowControl/>
              <w:spacing w:line="290" w:lineRule="exact"/>
              <w:jc w:val="center"/>
              <w:rPr>
                <w:color w:val="000000"/>
                <w:kern w:val="0"/>
                <w:szCs w:val="21"/>
              </w:rPr>
            </w:pPr>
            <w:r>
              <w:rPr>
                <w:rFonts w:hint="eastAsia"/>
                <w:color w:val="000000"/>
                <w:kern w:val="0"/>
                <w:szCs w:val="21"/>
              </w:rPr>
              <w:t>项目</w:t>
            </w:r>
          </w:p>
        </w:tc>
        <w:tc>
          <w:tcPr>
            <w:tcW w:w="1149" w:type="dxa"/>
            <w:tcBorders>
              <w:tl2br w:val="nil"/>
              <w:tr2bl w:val="nil"/>
            </w:tcBorders>
            <w:noWrap/>
            <w:vAlign w:val="center"/>
          </w:tcPr>
          <w:p>
            <w:pPr>
              <w:widowControl/>
              <w:spacing w:line="290" w:lineRule="exact"/>
              <w:jc w:val="center"/>
              <w:rPr>
                <w:color w:val="000000"/>
                <w:kern w:val="0"/>
                <w:szCs w:val="21"/>
              </w:rPr>
            </w:pPr>
            <w:r>
              <w:rPr>
                <w:rFonts w:hint="eastAsia"/>
                <w:color w:val="000000"/>
                <w:kern w:val="0"/>
                <w:szCs w:val="21"/>
              </w:rPr>
              <w:t>合计</w:t>
            </w:r>
          </w:p>
        </w:tc>
        <w:tc>
          <w:tcPr>
            <w:tcW w:w="1214" w:type="dxa"/>
            <w:tcBorders>
              <w:tl2br w:val="nil"/>
              <w:tr2bl w:val="nil"/>
            </w:tcBorders>
            <w:noWrap/>
            <w:vAlign w:val="center"/>
          </w:tcPr>
          <w:p>
            <w:pPr>
              <w:widowControl/>
              <w:spacing w:line="290" w:lineRule="exact"/>
              <w:jc w:val="center"/>
              <w:rPr>
                <w:color w:val="000000"/>
                <w:kern w:val="0"/>
                <w:szCs w:val="21"/>
              </w:rPr>
            </w:pPr>
            <w:r>
              <w:rPr>
                <w:rFonts w:hint="eastAsia"/>
                <w:color w:val="000000"/>
                <w:kern w:val="0"/>
                <w:szCs w:val="21"/>
              </w:rPr>
              <w:t>一般公共预算安排</w:t>
            </w:r>
          </w:p>
        </w:tc>
        <w:tc>
          <w:tcPr>
            <w:tcW w:w="1991" w:type="dxa"/>
            <w:gridSpan w:val="2"/>
            <w:tcBorders>
              <w:tl2br w:val="nil"/>
              <w:tr2bl w:val="nil"/>
            </w:tcBorders>
            <w:noWrap/>
            <w:vAlign w:val="center"/>
          </w:tcPr>
          <w:p>
            <w:pPr>
              <w:widowControl/>
              <w:spacing w:line="290" w:lineRule="exact"/>
              <w:jc w:val="center"/>
              <w:rPr>
                <w:color w:val="000000"/>
                <w:kern w:val="0"/>
                <w:szCs w:val="21"/>
              </w:rPr>
            </w:pPr>
            <w:r>
              <w:rPr>
                <w:rFonts w:hint="eastAsia"/>
                <w:color w:val="000000"/>
                <w:kern w:val="0"/>
                <w:szCs w:val="21"/>
              </w:rPr>
              <w:t>政府性基金预算安排</w:t>
            </w:r>
          </w:p>
        </w:tc>
        <w:tc>
          <w:tcPr>
            <w:tcW w:w="1514" w:type="dxa"/>
            <w:tcBorders>
              <w:tl2br w:val="nil"/>
              <w:tr2bl w:val="nil"/>
            </w:tcBorders>
            <w:noWrap/>
            <w:vAlign w:val="center"/>
          </w:tcPr>
          <w:p>
            <w:pPr>
              <w:widowControl/>
              <w:spacing w:line="290" w:lineRule="exact"/>
              <w:jc w:val="center"/>
              <w:rPr>
                <w:color w:val="000000"/>
                <w:kern w:val="0"/>
                <w:szCs w:val="21"/>
              </w:rPr>
            </w:pPr>
            <w:r>
              <w:rPr>
                <w:rFonts w:hint="eastAsia"/>
                <w:color w:val="000000"/>
                <w:kern w:val="0"/>
                <w:szCs w:val="21"/>
              </w:rPr>
              <w:t>国有资本经营预算安排</w:t>
            </w:r>
          </w:p>
        </w:tc>
        <w:tc>
          <w:tcPr>
            <w:tcW w:w="1911" w:type="dxa"/>
            <w:gridSpan w:val="2"/>
            <w:tcBorders>
              <w:tl2br w:val="nil"/>
              <w:tr2bl w:val="nil"/>
            </w:tcBorders>
            <w:noWrap/>
            <w:vAlign w:val="center"/>
          </w:tcPr>
          <w:p>
            <w:pPr>
              <w:widowControl/>
              <w:spacing w:line="290" w:lineRule="exact"/>
              <w:jc w:val="center"/>
              <w:rPr>
                <w:color w:val="000000"/>
                <w:kern w:val="0"/>
                <w:szCs w:val="21"/>
              </w:rPr>
            </w:pPr>
            <w:r>
              <w:rPr>
                <w:rFonts w:hint="eastAsia"/>
                <w:color w:val="000000"/>
                <w:kern w:val="0"/>
                <w:szCs w:val="21"/>
              </w:rPr>
              <w:t>社保基金预算安排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42" w:hRule="atLeast"/>
          <w:jc w:val="center"/>
        </w:trPr>
        <w:tc>
          <w:tcPr>
            <w:tcW w:w="900" w:type="dxa"/>
            <w:vMerge w:val="continue"/>
            <w:tcBorders>
              <w:tl2br w:val="nil"/>
              <w:tr2bl w:val="nil"/>
            </w:tcBorders>
            <w:noWrap w:val="0"/>
            <w:vAlign w:val="center"/>
          </w:tcPr>
          <w:p>
            <w:pPr>
              <w:widowControl/>
              <w:spacing w:line="290" w:lineRule="exact"/>
              <w:jc w:val="center"/>
              <w:rPr>
                <w:color w:val="000000"/>
                <w:kern w:val="0"/>
                <w:szCs w:val="21"/>
              </w:rPr>
            </w:pPr>
          </w:p>
        </w:tc>
        <w:tc>
          <w:tcPr>
            <w:tcW w:w="937" w:type="dxa"/>
            <w:gridSpan w:val="2"/>
            <w:tcBorders>
              <w:tl2br w:val="nil"/>
              <w:tr2bl w:val="nil"/>
            </w:tcBorders>
            <w:noWrap/>
            <w:vAlign w:val="center"/>
          </w:tcPr>
          <w:p>
            <w:pPr>
              <w:widowControl/>
              <w:spacing w:line="290" w:lineRule="exact"/>
              <w:jc w:val="center"/>
              <w:rPr>
                <w:color w:val="000000"/>
                <w:kern w:val="0"/>
                <w:szCs w:val="21"/>
              </w:rPr>
            </w:pPr>
            <w:r>
              <w:rPr>
                <w:rFonts w:hint="eastAsia"/>
                <w:color w:val="000000"/>
                <w:kern w:val="0"/>
                <w:szCs w:val="21"/>
              </w:rPr>
              <w:t>预算额</w:t>
            </w:r>
            <w:r>
              <w:rPr>
                <w:color w:val="000000"/>
                <w:kern w:val="0"/>
                <w:szCs w:val="21"/>
              </w:rPr>
              <w:t>(</w:t>
            </w:r>
            <w:r>
              <w:rPr>
                <w:rFonts w:hint="eastAsia"/>
                <w:color w:val="000000"/>
                <w:kern w:val="0"/>
                <w:szCs w:val="21"/>
              </w:rPr>
              <w:t>万元</w:t>
            </w:r>
            <w:r>
              <w:rPr>
                <w:color w:val="000000"/>
                <w:kern w:val="0"/>
                <w:szCs w:val="21"/>
              </w:rPr>
              <w:t>)</w:t>
            </w:r>
          </w:p>
        </w:tc>
        <w:tc>
          <w:tcPr>
            <w:tcW w:w="1149" w:type="dxa"/>
            <w:tcBorders>
              <w:tl2br w:val="nil"/>
              <w:tr2bl w:val="nil"/>
            </w:tcBorders>
            <w:noWrap/>
            <w:vAlign w:val="center"/>
          </w:tcPr>
          <w:p>
            <w:pPr>
              <w:widowControl/>
              <w:spacing w:line="290" w:lineRule="exact"/>
              <w:jc w:val="center"/>
              <w:rPr>
                <w:rFonts w:hint="default" w:eastAsia="宋体"/>
                <w:color w:val="000000"/>
                <w:kern w:val="0"/>
                <w:szCs w:val="21"/>
                <w:lang w:val="en-US" w:eastAsia="zh-CN"/>
              </w:rPr>
            </w:pPr>
            <w:r>
              <w:rPr>
                <w:rFonts w:hint="eastAsia"/>
                <w:color w:val="000000"/>
                <w:kern w:val="0"/>
                <w:szCs w:val="21"/>
                <w:lang w:val="en-US" w:eastAsia="zh-CN"/>
              </w:rPr>
              <w:t>1685.77</w:t>
            </w:r>
          </w:p>
        </w:tc>
        <w:tc>
          <w:tcPr>
            <w:tcW w:w="1214" w:type="dxa"/>
            <w:tcBorders>
              <w:tl2br w:val="nil"/>
              <w:tr2bl w:val="nil"/>
            </w:tcBorders>
            <w:noWrap/>
            <w:vAlign w:val="center"/>
          </w:tcPr>
          <w:p>
            <w:pPr>
              <w:widowControl/>
              <w:spacing w:line="290" w:lineRule="exact"/>
              <w:jc w:val="center"/>
              <w:rPr>
                <w:rFonts w:hint="default" w:eastAsia="宋体"/>
                <w:color w:val="000000"/>
                <w:kern w:val="0"/>
                <w:szCs w:val="21"/>
                <w:lang w:val="en-US" w:eastAsia="zh-CN"/>
              </w:rPr>
            </w:pPr>
            <w:r>
              <w:rPr>
                <w:rFonts w:hint="eastAsia"/>
                <w:color w:val="000000"/>
                <w:kern w:val="0"/>
                <w:szCs w:val="21"/>
                <w:lang w:val="en-US" w:eastAsia="zh-CN"/>
              </w:rPr>
              <w:t>1685.77</w:t>
            </w:r>
          </w:p>
        </w:tc>
        <w:tc>
          <w:tcPr>
            <w:tcW w:w="1991" w:type="dxa"/>
            <w:gridSpan w:val="2"/>
            <w:tcBorders>
              <w:tl2br w:val="nil"/>
              <w:tr2bl w:val="nil"/>
            </w:tcBorders>
            <w:noWrap/>
            <w:vAlign w:val="center"/>
          </w:tcPr>
          <w:p>
            <w:pPr>
              <w:widowControl/>
              <w:spacing w:line="290" w:lineRule="exact"/>
              <w:jc w:val="center"/>
              <w:rPr>
                <w:rFonts w:hint="eastAsia" w:eastAsia="宋体"/>
                <w:color w:val="000000"/>
                <w:kern w:val="0"/>
                <w:szCs w:val="21"/>
                <w:lang w:val="en-US" w:eastAsia="zh-CN"/>
              </w:rPr>
            </w:pPr>
            <w:r>
              <w:rPr>
                <w:rFonts w:hint="eastAsia"/>
                <w:color w:val="000000"/>
                <w:kern w:val="0"/>
                <w:szCs w:val="21"/>
                <w:lang w:val="en-US" w:eastAsia="zh-CN"/>
              </w:rPr>
              <w:t>0</w:t>
            </w:r>
          </w:p>
        </w:tc>
        <w:tc>
          <w:tcPr>
            <w:tcW w:w="1514" w:type="dxa"/>
            <w:tcBorders>
              <w:tl2br w:val="nil"/>
              <w:tr2bl w:val="nil"/>
            </w:tcBorders>
            <w:noWrap/>
            <w:vAlign w:val="center"/>
          </w:tcPr>
          <w:p>
            <w:pPr>
              <w:widowControl/>
              <w:spacing w:line="290" w:lineRule="exact"/>
              <w:jc w:val="center"/>
              <w:rPr>
                <w:rFonts w:hint="eastAsia" w:eastAsia="宋体"/>
                <w:color w:val="000000"/>
                <w:kern w:val="0"/>
                <w:szCs w:val="21"/>
                <w:lang w:val="en-US" w:eastAsia="zh-CN"/>
              </w:rPr>
            </w:pPr>
            <w:r>
              <w:rPr>
                <w:rFonts w:hint="eastAsia"/>
                <w:color w:val="000000"/>
                <w:kern w:val="0"/>
                <w:szCs w:val="21"/>
                <w:lang w:val="en-US" w:eastAsia="zh-CN"/>
              </w:rPr>
              <w:t>0</w:t>
            </w:r>
          </w:p>
        </w:tc>
        <w:tc>
          <w:tcPr>
            <w:tcW w:w="1911" w:type="dxa"/>
            <w:gridSpan w:val="2"/>
            <w:tcBorders>
              <w:tl2br w:val="nil"/>
              <w:tr2bl w:val="nil"/>
            </w:tcBorders>
            <w:noWrap/>
            <w:vAlign w:val="center"/>
          </w:tcPr>
          <w:p>
            <w:pPr>
              <w:widowControl/>
              <w:spacing w:line="290" w:lineRule="exact"/>
              <w:jc w:val="center"/>
              <w:rPr>
                <w:rFonts w:hint="eastAsia" w:eastAsia="宋体"/>
                <w:color w:val="000000"/>
                <w:kern w:val="0"/>
                <w:szCs w:val="21"/>
                <w:lang w:val="en-US" w:eastAsia="zh-CN"/>
              </w:rPr>
            </w:pP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42" w:hRule="atLeast"/>
          <w:jc w:val="center"/>
        </w:trPr>
        <w:tc>
          <w:tcPr>
            <w:tcW w:w="900" w:type="dxa"/>
            <w:vMerge w:val="continue"/>
            <w:tcBorders>
              <w:tl2br w:val="nil"/>
              <w:tr2bl w:val="nil"/>
            </w:tcBorders>
            <w:noWrap w:val="0"/>
            <w:vAlign w:val="center"/>
          </w:tcPr>
          <w:p>
            <w:pPr>
              <w:widowControl/>
              <w:spacing w:line="290" w:lineRule="exact"/>
              <w:jc w:val="center"/>
              <w:rPr>
                <w:color w:val="000000"/>
                <w:kern w:val="0"/>
                <w:szCs w:val="21"/>
              </w:rPr>
            </w:pPr>
          </w:p>
        </w:tc>
        <w:tc>
          <w:tcPr>
            <w:tcW w:w="937" w:type="dxa"/>
            <w:gridSpan w:val="2"/>
            <w:tcBorders>
              <w:tl2br w:val="nil"/>
              <w:tr2bl w:val="nil"/>
            </w:tcBorders>
            <w:noWrap/>
            <w:vAlign w:val="center"/>
          </w:tcPr>
          <w:p>
            <w:pPr>
              <w:widowControl/>
              <w:spacing w:line="290" w:lineRule="exact"/>
              <w:jc w:val="center"/>
              <w:rPr>
                <w:color w:val="000000"/>
                <w:kern w:val="0"/>
                <w:szCs w:val="21"/>
              </w:rPr>
            </w:pPr>
            <w:r>
              <w:rPr>
                <w:rFonts w:hint="eastAsia"/>
                <w:color w:val="000000"/>
                <w:kern w:val="0"/>
                <w:szCs w:val="21"/>
              </w:rPr>
              <w:t>执行额</w:t>
            </w:r>
            <w:r>
              <w:rPr>
                <w:color w:val="000000"/>
                <w:kern w:val="0"/>
                <w:szCs w:val="21"/>
              </w:rPr>
              <w:t>(</w:t>
            </w:r>
            <w:r>
              <w:rPr>
                <w:rFonts w:hint="eastAsia"/>
                <w:color w:val="000000"/>
                <w:kern w:val="0"/>
                <w:szCs w:val="21"/>
              </w:rPr>
              <w:t>万元</w:t>
            </w:r>
            <w:r>
              <w:rPr>
                <w:color w:val="000000"/>
                <w:kern w:val="0"/>
                <w:szCs w:val="21"/>
              </w:rPr>
              <w:t>)</w:t>
            </w:r>
          </w:p>
        </w:tc>
        <w:tc>
          <w:tcPr>
            <w:tcW w:w="1149" w:type="dxa"/>
            <w:tcBorders>
              <w:tl2br w:val="nil"/>
              <w:tr2bl w:val="nil"/>
            </w:tcBorders>
            <w:noWrap/>
            <w:vAlign w:val="center"/>
          </w:tcPr>
          <w:p>
            <w:pPr>
              <w:widowControl/>
              <w:spacing w:line="290" w:lineRule="exact"/>
              <w:jc w:val="center"/>
              <w:rPr>
                <w:rFonts w:hint="default" w:eastAsia="宋体"/>
                <w:color w:val="000000"/>
                <w:kern w:val="0"/>
                <w:szCs w:val="21"/>
                <w:lang w:val="en-US" w:eastAsia="zh-CN"/>
              </w:rPr>
            </w:pPr>
            <w:r>
              <w:rPr>
                <w:rFonts w:hint="eastAsia"/>
                <w:color w:val="000000"/>
                <w:kern w:val="0"/>
                <w:szCs w:val="21"/>
                <w:lang w:val="en-US" w:eastAsia="zh-CN"/>
              </w:rPr>
              <w:t>6573.01</w:t>
            </w:r>
          </w:p>
        </w:tc>
        <w:tc>
          <w:tcPr>
            <w:tcW w:w="1214" w:type="dxa"/>
            <w:tcBorders>
              <w:tl2br w:val="nil"/>
              <w:tr2bl w:val="nil"/>
            </w:tcBorders>
            <w:noWrap/>
            <w:vAlign w:val="center"/>
          </w:tcPr>
          <w:p>
            <w:pPr>
              <w:widowControl/>
              <w:spacing w:line="290" w:lineRule="exact"/>
              <w:jc w:val="center"/>
              <w:rPr>
                <w:rFonts w:hint="default" w:eastAsia="宋体"/>
                <w:color w:val="000000"/>
                <w:kern w:val="0"/>
                <w:szCs w:val="21"/>
                <w:lang w:val="en-US" w:eastAsia="zh-CN"/>
              </w:rPr>
            </w:pPr>
            <w:r>
              <w:rPr>
                <w:rFonts w:hint="eastAsia"/>
                <w:color w:val="000000"/>
                <w:kern w:val="0"/>
                <w:szCs w:val="21"/>
                <w:lang w:val="en-US" w:eastAsia="zh-CN"/>
              </w:rPr>
              <w:t>6562.35</w:t>
            </w:r>
          </w:p>
        </w:tc>
        <w:tc>
          <w:tcPr>
            <w:tcW w:w="1991" w:type="dxa"/>
            <w:gridSpan w:val="2"/>
            <w:tcBorders>
              <w:tl2br w:val="nil"/>
              <w:tr2bl w:val="nil"/>
            </w:tcBorders>
            <w:noWrap/>
            <w:vAlign w:val="center"/>
          </w:tcPr>
          <w:p>
            <w:pPr>
              <w:widowControl/>
              <w:spacing w:line="290" w:lineRule="exact"/>
              <w:jc w:val="center"/>
              <w:rPr>
                <w:rFonts w:hint="default" w:eastAsia="宋体"/>
                <w:color w:val="000000"/>
                <w:kern w:val="0"/>
                <w:szCs w:val="21"/>
                <w:lang w:val="en-US" w:eastAsia="zh-CN"/>
              </w:rPr>
            </w:pPr>
            <w:r>
              <w:rPr>
                <w:rFonts w:hint="eastAsia"/>
                <w:color w:val="000000"/>
                <w:kern w:val="0"/>
                <w:szCs w:val="21"/>
                <w:lang w:val="en-US" w:eastAsia="zh-CN"/>
              </w:rPr>
              <w:t>10.66</w:t>
            </w:r>
          </w:p>
        </w:tc>
        <w:tc>
          <w:tcPr>
            <w:tcW w:w="1514" w:type="dxa"/>
            <w:tcBorders>
              <w:tl2br w:val="nil"/>
              <w:tr2bl w:val="nil"/>
            </w:tcBorders>
            <w:noWrap/>
            <w:vAlign w:val="center"/>
          </w:tcPr>
          <w:p>
            <w:pPr>
              <w:widowControl/>
              <w:spacing w:line="290" w:lineRule="exact"/>
              <w:jc w:val="center"/>
              <w:rPr>
                <w:rFonts w:hint="eastAsia" w:eastAsia="宋体"/>
                <w:color w:val="000000"/>
                <w:kern w:val="0"/>
                <w:szCs w:val="21"/>
                <w:lang w:val="en-US" w:eastAsia="zh-CN"/>
              </w:rPr>
            </w:pPr>
            <w:r>
              <w:rPr>
                <w:rFonts w:hint="eastAsia"/>
                <w:color w:val="000000"/>
                <w:kern w:val="0"/>
                <w:szCs w:val="21"/>
                <w:lang w:val="en-US" w:eastAsia="zh-CN"/>
              </w:rPr>
              <w:t>0</w:t>
            </w:r>
          </w:p>
        </w:tc>
        <w:tc>
          <w:tcPr>
            <w:tcW w:w="1911" w:type="dxa"/>
            <w:gridSpan w:val="2"/>
            <w:tcBorders>
              <w:tl2br w:val="nil"/>
              <w:tr2bl w:val="nil"/>
            </w:tcBorders>
            <w:noWrap/>
            <w:vAlign w:val="center"/>
          </w:tcPr>
          <w:p>
            <w:pPr>
              <w:widowControl/>
              <w:spacing w:line="290" w:lineRule="exact"/>
              <w:jc w:val="center"/>
              <w:rPr>
                <w:rFonts w:hint="eastAsia" w:eastAsia="宋体"/>
                <w:color w:val="000000"/>
                <w:kern w:val="0"/>
                <w:szCs w:val="21"/>
                <w:lang w:val="en-US" w:eastAsia="zh-CN"/>
              </w:rPr>
            </w:pP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42" w:hRule="atLeast"/>
          <w:jc w:val="center"/>
        </w:trPr>
        <w:tc>
          <w:tcPr>
            <w:tcW w:w="900" w:type="dxa"/>
            <w:vMerge w:val="continue"/>
            <w:tcBorders>
              <w:tl2br w:val="nil"/>
              <w:tr2bl w:val="nil"/>
            </w:tcBorders>
            <w:noWrap w:val="0"/>
            <w:vAlign w:val="center"/>
          </w:tcPr>
          <w:p>
            <w:pPr>
              <w:widowControl/>
              <w:spacing w:line="290" w:lineRule="exact"/>
              <w:jc w:val="center"/>
              <w:rPr>
                <w:color w:val="000000"/>
                <w:kern w:val="0"/>
                <w:szCs w:val="21"/>
              </w:rPr>
            </w:pPr>
          </w:p>
        </w:tc>
        <w:tc>
          <w:tcPr>
            <w:tcW w:w="937" w:type="dxa"/>
            <w:gridSpan w:val="2"/>
            <w:tcBorders>
              <w:tl2br w:val="nil"/>
              <w:tr2bl w:val="nil"/>
            </w:tcBorders>
            <w:noWrap/>
            <w:vAlign w:val="center"/>
          </w:tcPr>
          <w:p>
            <w:pPr>
              <w:widowControl/>
              <w:spacing w:line="290" w:lineRule="exact"/>
              <w:jc w:val="center"/>
              <w:rPr>
                <w:color w:val="000000"/>
                <w:spacing w:val="-20"/>
                <w:kern w:val="0"/>
                <w:szCs w:val="21"/>
              </w:rPr>
            </w:pPr>
            <w:r>
              <w:rPr>
                <w:rFonts w:hint="eastAsia"/>
                <w:color w:val="000000"/>
                <w:spacing w:val="-20"/>
                <w:kern w:val="0"/>
                <w:szCs w:val="21"/>
              </w:rPr>
              <w:t>当年结转结余额</w:t>
            </w:r>
            <w:r>
              <w:rPr>
                <w:color w:val="000000"/>
                <w:kern w:val="0"/>
                <w:szCs w:val="21"/>
              </w:rPr>
              <w:t>(</w:t>
            </w:r>
            <w:r>
              <w:rPr>
                <w:rFonts w:hint="eastAsia"/>
                <w:color w:val="000000"/>
                <w:kern w:val="0"/>
                <w:szCs w:val="21"/>
              </w:rPr>
              <w:t>万元</w:t>
            </w:r>
            <w:r>
              <w:rPr>
                <w:color w:val="000000"/>
                <w:kern w:val="0"/>
                <w:szCs w:val="21"/>
              </w:rPr>
              <w:t>)</w:t>
            </w:r>
          </w:p>
        </w:tc>
        <w:tc>
          <w:tcPr>
            <w:tcW w:w="1149" w:type="dxa"/>
            <w:tcBorders>
              <w:tl2br w:val="nil"/>
              <w:tr2bl w:val="nil"/>
            </w:tcBorders>
            <w:noWrap/>
            <w:vAlign w:val="center"/>
          </w:tcPr>
          <w:p>
            <w:pPr>
              <w:widowControl/>
              <w:spacing w:line="290" w:lineRule="exact"/>
              <w:jc w:val="center"/>
              <w:rPr>
                <w:rFonts w:hint="eastAsia" w:eastAsia="宋体"/>
                <w:color w:val="000000"/>
                <w:kern w:val="0"/>
                <w:szCs w:val="21"/>
                <w:lang w:val="en-US" w:eastAsia="zh-CN"/>
              </w:rPr>
            </w:pPr>
            <w:r>
              <w:rPr>
                <w:rFonts w:hint="eastAsia"/>
                <w:color w:val="000000"/>
                <w:kern w:val="0"/>
                <w:szCs w:val="21"/>
                <w:lang w:val="en-US" w:eastAsia="zh-CN"/>
              </w:rPr>
              <w:t>0</w:t>
            </w:r>
          </w:p>
        </w:tc>
        <w:tc>
          <w:tcPr>
            <w:tcW w:w="1214" w:type="dxa"/>
            <w:tcBorders>
              <w:tl2br w:val="nil"/>
              <w:tr2bl w:val="nil"/>
            </w:tcBorders>
            <w:noWrap/>
            <w:vAlign w:val="center"/>
          </w:tcPr>
          <w:p>
            <w:pPr>
              <w:widowControl/>
              <w:spacing w:line="290" w:lineRule="exact"/>
              <w:jc w:val="center"/>
              <w:rPr>
                <w:rFonts w:hint="eastAsia" w:eastAsia="宋体"/>
                <w:color w:val="000000"/>
                <w:kern w:val="0"/>
                <w:szCs w:val="21"/>
                <w:lang w:val="en-US" w:eastAsia="zh-CN"/>
              </w:rPr>
            </w:pPr>
            <w:r>
              <w:rPr>
                <w:rFonts w:hint="eastAsia"/>
                <w:color w:val="000000"/>
                <w:kern w:val="0"/>
                <w:szCs w:val="21"/>
                <w:lang w:val="en-US" w:eastAsia="zh-CN"/>
              </w:rPr>
              <w:t>0</w:t>
            </w:r>
          </w:p>
        </w:tc>
        <w:tc>
          <w:tcPr>
            <w:tcW w:w="1991" w:type="dxa"/>
            <w:gridSpan w:val="2"/>
            <w:tcBorders>
              <w:tl2br w:val="nil"/>
              <w:tr2bl w:val="nil"/>
            </w:tcBorders>
            <w:noWrap/>
            <w:vAlign w:val="center"/>
          </w:tcPr>
          <w:p>
            <w:pPr>
              <w:widowControl/>
              <w:spacing w:line="290" w:lineRule="exact"/>
              <w:jc w:val="center"/>
              <w:rPr>
                <w:rFonts w:hint="eastAsia" w:eastAsia="宋体"/>
                <w:color w:val="000000"/>
                <w:kern w:val="0"/>
                <w:szCs w:val="21"/>
                <w:lang w:val="en-US" w:eastAsia="zh-CN"/>
              </w:rPr>
            </w:pPr>
            <w:r>
              <w:rPr>
                <w:rFonts w:hint="eastAsia"/>
                <w:color w:val="000000"/>
                <w:kern w:val="0"/>
                <w:szCs w:val="21"/>
                <w:lang w:val="en-US" w:eastAsia="zh-CN"/>
              </w:rPr>
              <w:t>0</w:t>
            </w:r>
          </w:p>
        </w:tc>
        <w:tc>
          <w:tcPr>
            <w:tcW w:w="1514" w:type="dxa"/>
            <w:tcBorders>
              <w:tl2br w:val="nil"/>
              <w:tr2bl w:val="nil"/>
            </w:tcBorders>
            <w:noWrap/>
            <w:vAlign w:val="center"/>
          </w:tcPr>
          <w:p>
            <w:pPr>
              <w:widowControl/>
              <w:spacing w:line="290" w:lineRule="exact"/>
              <w:jc w:val="center"/>
              <w:rPr>
                <w:rFonts w:hint="eastAsia" w:eastAsia="宋体"/>
                <w:color w:val="000000"/>
                <w:kern w:val="0"/>
                <w:szCs w:val="21"/>
                <w:lang w:val="en-US" w:eastAsia="zh-CN"/>
              </w:rPr>
            </w:pPr>
            <w:r>
              <w:rPr>
                <w:rFonts w:hint="eastAsia"/>
                <w:color w:val="000000"/>
                <w:kern w:val="0"/>
                <w:szCs w:val="21"/>
                <w:lang w:val="en-US" w:eastAsia="zh-CN"/>
              </w:rPr>
              <w:t>0</w:t>
            </w:r>
          </w:p>
        </w:tc>
        <w:tc>
          <w:tcPr>
            <w:tcW w:w="1911" w:type="dxa"/>
            <w:gridSpan w:val="2"/>
            <w:tcBorders>
              <w:tl2br w:val="nil"/>
              <w:tr2bl w:val="nil"/>
            </w:tcBorders>
            <w:noWrap/>
            <w:vAlign w:val="center"/>
          </w:tcPr>
          <w:p>
            <w:pPr>
              <w:widowControl/>
              <w:spacing w:line="290" w:lineRule="exact"/>
              <w:jc w:val="center"/>
              <w:rPr>
                <w:rFonts w:hint="eastAsia" w:eastAsia="宋体"/>
                <w:color w:val="000000"/>
                <w:kern w:val="0"/>
                <w:szCs w:val="21"/>
                <w:lang w:val="en-US" w:eastAsia="zh-CN"/>
              </w:rPr>
            </w:pP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42" w:hRule="atLeast"/>
          <w:jc w:val="center"/>
        </w:trPr>
        <w:tc>
          <w:tcPr>
            <w:tcW w:w="900" w:type="dxa"/>
            <w:vMerge w:val="continue"/>
            <w:tcBorders>
              <w:tl2br w:val="nil"/>
              <w:tr2bl w:val="nil"/>
            </w:tcBorders>
            <w:noWrap w:val="0"/>
            <w:vAlign w:val="center"/>
          </w:tcPr>
          <w:p>
            <w:pPr>
              <w:widowControl/>
              <w:spacing w:line="290" w:lineRule="exact"/>
              <w:jc w:val="center"/>
              <w:rPr>
                <w:color w:val="000000"/>
                <w:kern w:val="0"/>
                <w:szCs w:val="21"/>
              </w:rPr>
            </w:pPr>
          </w:p>
        </w:tc>
        <w:tc>
          <w:tcPr>
            <w:tcW w:w="937" w:type="dxa"/>
            <w:gridSpan w:val="2"/>
            <w:tcBorders>
              <w:tl2br w:val="nil"/>
              <w:tr2bl w:val="nil"/>
            </w:tcBorders>
            <w:noWrap/>
            <w:vAlign w:val="center"/>
          </w:tcPr>
          <w:p>
            <w:pPr>
              <w:widowControl/>
              <w:spacing w:line="290" w:lineRule="exact"/>
              <w:jc w:val="center"/>
              <w:rPr>
                <w:color w:val="000000"/>
                <w:kern w:val="0"/>
                <w:szCs w:val="21"/>
              </w:rPr>
            </w:pPr>
            <w:r>
              <w:rPr>
                <w:rFonts w:hint="eastAsia"/>
                <w:color w:val="000000"/>
                <w:kern w:val="0"/>
                <w:szCs w:val="21"/>
              </w:rPr>
              <w:t>结转结余率</w:t>
            </w:r>
            <w:r>
              <w:rPr>
                <w:color w:val="000000"/>
                <w:kern w:val="0"/>
                <w:szCs w:val="21"/>
              </w:rPr>
              <w:t>%</w:t>
            </w:r>
          </w:p>
        </w:tc>
        <w:tc>
          <w:tcPr>
            <w:tcW w:w="1149" w:type="dxa"/>
            <w:tcBorders>
              <w:tl2br w:val="nil"/>
              <w:tr2bl w:val="nil"/>
            </w:tcBorders>
            <w:noWrap/>
            <w:vAlign w:val="center"/>
          </w:tcPr>
          <w:p>
            <w:pPr>
              <w:widowControl/>
              <w:spacing w:line="290" w:lineRule="exact"/>
              <w:jc w:val="center"/>
              <w:rPr>
                <w:rFonts w:hint="eastAsia" w:eastAsia="宋体"/>
                <w:color w:val="000000"/>
                <w:kern w:val="0"/>
                <w:szCs w:val="21"/>
                <w:lang w:val="en-US" w:eastAsia="zh-CN"/>
              </w:rPr>
            </w:pPr>
            <w:r>
              <w:rPr>
                <w:rFonts w:hint="eastAsia"/>
                <w:color w:val="000000"/>
                <w:kern w:val="0"/>
                <w:szCs w:val="21"/>
                <w:lang w:val="en-US" w:eastAsia="zh-CN"/>
              </w:rPr>
              <w:t>0</w:t>
            </w:r>
          </w:p>
        </w:tc>
        <w:tc>
          <w:tcPr>
            <w:tcW w:w="1214" w:type="dxa"/>
            <w:tcBorders>
              <w:tl2br w:val="nil"/>
              <w:tr2bl w:val="nil"/>
            </w:tcBorders>
            <w:noWrap/>
            <w:vAlign w:val="center"/>
          </w:tcPr>
          <w:p>
            <w:pPr>
              <w:widowControl/>
              <w:spacing w:line="290" w:lineRule="exact"/>
              <w:jc w:val="center"/>
              <w:rPr>
                <w:rFonts w:hint="eastAsia" w:eastAsia="宋体"/>
                <w:color w:val="000000"/>
                <w:kern w:val="0"/>
                <w:szCs w:val="21"/>
                <w:lang w:val="en-US" w:eastAsia="zh-CN"/>
              </w:rPr>
            </w:pPr>
            <w:r>
              <w:rPr>
                <w:rFonts w:hint="eastAsia"/>
                <w:color w:val="000000"/>
                <w:kern w:val="0"/>
                <w:szCs w:val="21"/>
                <w:lang w:val="en-US" w:eastAsia="zh-CN"/>
              </w:rPr>
              <w:t>0</w:t>
            </w:r>
          </w:p>
        </w:tc>
        <w:tc>
          <w:tcPr>
            <w:tcW w:w="1991" w:type="dxa"/>
            <w:gridSpan w:val="2"/>
            <w:tcBorders>
              <w:tl2br w:val="nil"/>
              <w:tr2bl w:val="nil"/>
            </w:tcBorders>
            <w:noWrap/>
            <w:vAlign w:val="center"/>
          </w:tcPr>
          <w:p>
            <w:pPr>
              <w:widowControl/>
              <w:spacing w:line="290" w:lineRule="exact"/>
              <w:jc w:val="center"/>
              <w:rPr>
                <w:rFonts w:hint="eastAsia" w:eastAsia="宋体"/>
                <w:color w:val="000000"/>
                <w:kern w:val="0"/>
                <w:szCs w:val="21"/>
                <w:lang w:val="en-US" w:eastAsia="zh-CN"/>
              </w:rPr>
            </w:pPr>
            <w:r>
              <w:rPr>
                <w:rFonts w:hint="eastAsia"/>
                <w:color w:val="000000"/>
                <w:kern w:val="0"/>
                <w:szCs w:val="21"/>
                <w:lang w:val="en-US" w:eastAsia="zh-CN"/>
              </w:rPr>
              <w:t>0</w:t>
            </w:r>
          </w:p>
        </w:tc>
        <w:tc>
          <w:tcPr>
            <w:tcW w:w="1514" w:type="dxa"/>
            <w:tcBorders>
              <w:tl2br w:val="nil"/>
              <w:tr2bl w:val="nil"/>
            </w:tcBorders>
            <w:noWrap/>
            <w:vAlign w:val="center"/>
          </w:tcPr>
          <w:p>
            <w:pPr>
              <w:widowControl/>
              <w:spacing w:line="290" w:lineRule="exact"/>
              <w:jc w:val="center"/>
              <w:rPr>
                <w:rFonts w:hint="eastAsia" w:eastAsia="宋体"/>
                <w:color w:val="000000"/>
                <w:kern w:val="0"/>
                <w:szCs w:val="21"/>
                <w:lang w:val="en-US" w:eastAsia="zh-CN"/>
              </w:rPr>
            </w:pPr>
            <w:r>
              <w:rPr>
                <w:rFonts w:hint="eastAsia"/>
                <w:color w:val="000000"/>
                <w:kern w:val="0"/>
                <w:szCs w:val="21"/>
                <w:lang w:val="en-US" w:eastAsia="zh-CN"/>
              </w:rPr>
              <w:t>0</w:t>
            </w:r>
          </w:p>
        </w:tc>
        <w:tc>
          <w:tcPr>
            <w:tcW w:w="1911" w:type="dxa"/>
            <w:gridSpan w:val="2"/>
            <w:tcBorders>
              <w:tl2br w:val="nil"/>
              <w:tr2bl w:val="nil"/>
            </w:tcBorders>
            <w:noWrap/>
            <w:vAlign w:val="center"/>
          </w:tcPr>
          <w:p>
            <w:pPr>
              <w:widowControl/>
              <w:spacing w:line="290" w:lineRule="exact"/>
              <w:jc w:val="center"/>
              <w:rPr>
                <w:rFonts w:hint="eastAsia" w:eastAsia="宋体"/>
                <w:color w:val="000000"/>
                <w:kern w:val="0"/>
                <w:szCs w:val="21"/>
                <w:lang w:val="en-US" w:eastAsia="zh-CN"/>
              </w:rPr>
            </w:pP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42" w:hRule="atLeast"/>
          <w:jc w:val="center"/>
        </w:trPr>
        <w:tc>
          <w:tcPr>
            <w:tcW w:w="900" w:type="dxa"/>
            <w:vMerge w:val="continue"/>
            <w:tcBorders>
              <w:tl2br w:val="nil"/>
              <w:tr2bl w:val="nil"/>
            </w:tcBorders>
            <w:noWrap w:val="0"/>
            <w:vAlign w:val="center"/>
          </w:tcPr>
          <w:p>
            <w:pPr>
              <w:widowControl/>
              <w:spacing w:line="290" w:lineRule="exact"/>
              <w:jc w:val="center"/>
              <w:rPr>
                <w:color w:val="000000"/>
                <w:kern w:val="0"/>
                <w:szCs w:val="21"/>
              </w:rPr>
            </w:pPr>
          </w:p>
        </w:tc>
        <w:tc>
          <w:tcPr>
            <w:tcW w:w="937" w:type="dxa"/>
            <w:gridSpan w:val="2"/>
            <w:tcBorders>
              <w:tl2br w:val="nil"/>
              <w:tr2bl w:val="nil"/>
            </w:tcBorders>
            <w:noWrap/>
            <w:vAlign w:val="center"/>
          </w:tcPr>
          <w:p>
            <w:pPr>
              <w:widowControl/>
              <w:spacing w:line="290" w:lineRule="exact"/>
              <w:jc w:val="center"/>
              <w:rPr>
                <w:color w:val="000000"/>
                <w:kern w:val="0"/>
                <w:szCs w:val="21"/>
              </w:rPr>
            </w:pPr>
            <w:r>
              <w:rPr>
                <w:rFonts w:hint="eastAsia"/>
                <w:color w:val="000000"/>
                <w:kern w:val="0"/>
                <w:szCs w:val="21"/>
              </w:rPr>
              <w:t>结转结余变动率</w:t>
            </w:r>
            <w:r>
              <w:rPr>
                <w:color w:val="000000"/>
                <w:kern w:val="0"/>
                <w:szCs w:val="21"/>
              </w:rPr>
              <w:t>%</w:t>
            </w:r>
          </w:p>
        </w:tc>
        <w:tc>
          <w:tcPr>
            <w:tcW w:w="1149" w:type="dxa"/>
            <w:tcBorders>
              <w:tl2br w:val="nil"/>
              <w:tr2bl w:val="nil"/>
            </w:tcBorders>
            <w:noWrap/>
            <w:vAlign w:val="center"/>
          </w:tcPr>
          <w:p>
            <w:pPr>
              <w:widowControl/>
              <w:spacing w:line="290" w:lineRule="exact"/>
              <w:jc w:val="center"/>
              <w:rPr>
                <w:rFonts w:hint="eastAsia" w:eastAsia="宋体"/>
                <w:color w:val="000000"/>
                <w:kern w:val="0"/>
                <w:szCs w:val="21"/>
                <w:lang w:val="en-US" w:eastAsia="zh-CN"/>
              </w:rPr>
            </w:pPr>
            <w:r>
              <w:rPr>
                <w:rFonts w:hint="eastAsia"/>
                <w:color w:val="000000"/>
                <w:kern w:val="0"/>
                <w:szCs w:val="21"/>
                <w:lang w:val="en-US" w:eastAsia="zh-CN"/>
              </w:rPr>
              <w:t>0</w:t>
            </w:r>
          </w:p>
        </w:tc>
        <w:tc>
          <w:tcPr>
            <w:tcW w:w="1214" w:type="dxa"/>
            <w:tcBorders>
              <w:tl2br w:val="nil"/>
              <w:tr2bl w:val="nil"/>
            </w:tcBorders>
            <w:noWrap/>
            <w:vAlign w:val="center"/>
          </w:tcPr>
          <w:p>
            <w:pPr>
              <w:widowControl/>
              <w:spacing w:line="290" w:lineRule="exact"/>
              <w:jc w:val="center"/>
              <w:rPr>
                <w:rFonts w:hint="eastAsia" w:eastAsia="宋体"/>
                <w:color w:val="000000"/>
                <w:kern w:val="0"/>
                <w:szCs w:val="21"/>
                <w:lang w:val="en-US" w:eastAsia="zh-CN"/>
              </w:rPr>
            </w:pPr>
            <w:r>
              <w:rPr>
                <w:rFonts w:hint="eastAsia"/>
                <w:color w:val="000000"/>
                <w:kern w:val="0"/>
                <w:szCs w:val="21"/>
                <w:lang w:val="en-US" w:eastAsia="zh-CN"/>
              </w:rPr>
              <w:t>0</w:t>
            </w:r>
          </w:p>
        </w:tc>
        <w:tc>
          <w:tcPr>
            <w:tcW w:w="1991" w:type="dxa"/>
            <w:gridSpan w:val="2"/>
            <w:tcBorders>
              <w:tl2br w:val="nil"/>
              <w:tr2bl w:val="nil"/>
            </w:tcBorders>
            <w:noWrap/>
            <w:vAlign w:val="center"/>
          </w:tcPr>
          <w:p>
            <w:pPr>
              <w:widowControl/>
              <w:spacing w:line="290" w:lineRule="exact"/>
              <w:jc w:val="center"/>
              <w:rPr>
                <w:rFonts w:hint="eastAsia" w:eastAsia="宋体"/>
                <w:color w:val="000000"/>
                <w:kern w:val="0"/>
                <w:szCs w:val="21"/>
                <w:lang w:val="en-US" w:eastAsia="zh-CN"/>
              </w:rPr>
            </w:pPr>
            <w:r>
              <w:rPr>
                <w:rFonts w:hint="eastAsia"/>
                <w:color w:val="000000"/>
                <w:kern w:val="0"/>
                <w:szCs w:val="21"/>
                <w:lang w:val="en-US" w:eastAsia="zh-CN"/>
              </w:rPr>
              <w:t>0</w:t>
            </w:r>
          </w:p>
        </w:tc>
        <w:tc>
          <w:tcPr>
            <w:tcW w:w="1514" w:type="dxa"/>
            <w:tcBorders>
              <w:tl2br w:val="nil"/>
              <w:tr2bl w:val="nil"/>
            </w:tcBorders>
            <w:noWrap/>
            <w:vAlign w:val="center"/>
          </w:tcPr>
          <w:p>
            <w:pPr>
              <w:widowControl/>
              <w:spacing w:line="290" w:lineRule="exact"/>
              <w:jc w:val="center"/>
              <w:rPr>
                <w:rFonts w:hint="eastAsia" w:eastAsia="宋体"/>
                <w:color w:val="000000"/>
                <w:kern w:val="0"/>
                <w:szCs w:val="21"/>
                <w:lang w:val="en-US" w:eastAsia="zh-CN"/>
              </w:rPr>
            </w:pPr>
            <w:r>
              <w:rPr>
                <w:rFonts w:hint="eastAsia"/>
                <w:color w:val="000000"/>
                <w:kern w:val="0"/>
                <w:szCs w:val="21"/>
                <w:lang w:val="en-US" w:eastAsia="zh-CN"/>
              </w:rPr>
              <w:t>0</w:t>
            </w:r>
          </w:p>
        </w:tc>
        <w:tc>
          <w:tcPr>
            <w:tcW w:w="1911" w:type="dxa"/>
            <w:gridSpan w:val="2"/>
            <w:tcBorders>
              <w:tl2br w:val="nil"/>
              <w:tr2bl w:val="nil"/>
            </w:tcBorders>
            <w:noWrap/>
            <w:vAlign w:val="center"/>
          </w:tcPr>
          <w:p>
            <w:pPr>
              <w:widowControl/>
              <w:spacing w:line="290" w:lineRule="exact"/>
              <w:jc w:val="center"/>
              <w:rPr>
                <w:rFonts w:hint="eastAsia" w:eastAsia="宋体"/>
                <w:color w:val="000000"/>
                <w:kern w:val="0"/>
                <w:szCs w:val="21"/>
                <w:lang w:val="en-US" w:eastAsia="zh-CN"/>
              </w:rPr>
            </w:pP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55" w:hRule="atLeast"/>
          <w:jc w:val="center"/>
        </w:trPr>
        <w:tc>
          <w:tcPr>
            <w:tcW w:w="900" w:type="dxa"/>
            <w:vMerge w:val="restart"/>
            <w:tcBorders>
              <w:tl2br w:val="nil"/>
              <w:tr2bl w:val="nil"/>
            </w:tcBorders>
            <w:noWrap/>
            <w:vAlign w:val="center"/>
          </w:tcPr>
          <w:p>
            <w:pPr>
              <w:widowControl/>
              <w:spacing w:line="400" w:lineRule="exact"/>
              <w:jc w:val="center"/>
              <w:rPr>
                <w:color w:val="000000"/>
                <w:kern w:val="0"/>
                <w:szCs w:val="21"/>
              </w:rPr>
            </w:pPr>
            <w:r>
              <w:rPr>
                <w:rFonts w:hint="eastAsia"/>
                <w:color w:val="000000"/>
                <w:kern w:val="0"/>
                <w:szCs w:val="21"/>
              </w:rPr>
              <w:t>年度总体目标</w:t>
            </w:r>
          </w:p>
        </w:tc>
        <w:tc>
          <w:tcPr>
            <w:tcW w:w="2086" w:type="dxa"/>
            <w:gridSpan w:val="3"/>
            <w:tcBorders>
              <w:tl2br w:val="nil"/>
              <w:tr2bl w:val="nil"/>
            </w:tcBorders>
            <w:noWrap/>
            <w:vAlign w:val="center"/>
          </w:tcPr>
          <w:p>
            <w:pPr>
              <w:widowControl/>
              <w:spacing w:line="400" w:lineRule="exact"/>
              <w:jc w:val="center"/>
              <w:rPr>
                <w:color w:val="000000"/>
                <w:kern w:val="0"/>
                <w:szCs w:val="21"/>
              </w:rPr>
            </w:pPr>
            <w:r>
              <w:rPr>
                <w:rFonts w:hint="eastAsia"/>
                <w:color w:val="000000"/>
                <w:kern w:val="0"/>
                <w:szCs w:val="21"/>
              </w:rPr>
              <w:t>预算总体目标</w:t>
            </w:r>
          </w:p>
        </w:tc>
        <w:tc>
          <w:tcPr>
            <w:tcW w:w="3205" w:type="dxa"/>
            <w:gridSpan w:val="3"/>
            <w:tcBorders>
              <w:tl2br w:val="nil"/>
              <w:tr2bl w:val="nil"/>
            </w:tcBorders>
            <w:noWrap/>
            <w:vAlign w:val="center"/>
          </w:tcPr>
          <w:p>
            <w:pPr>
              <w:widowControl/>
              <w:spacing w:line="400" w:lineRule="exact"/>
              <w:jc w:val="center"/>
              <w:rPr>
                <w:color w:val="000000"/>
                <w:kern w:val="0"/>
                <w:szCs w:val="21"/>
              </w:rPr>
            </w:pPr>
            <w:r>
              <w:rPr>
                <w:rFonts w:hint="eastAsia"/>
                <w:color w:val="000000"/>
                <w:kern w:val="0"/>
                <w:szCs w:val="21"/>
              </w:rPr>
              <w:t>预算总体目标执行结果</w:t>
            </w:r>
          </w:p>
        </w:tc>
        <w:tc>
          <w:tcPr>
            <w:tcW w:w="3425" w:type="dxa"/>
            <w:gridSpan w:val="3"/>
            <w:tcBorders>
              <w:tl2br w:val="nil"/>
              <w:tr2bl w:val="nil"/>
            </w:tcBorders>
            <w:noWrap/>
            <w:vAlign w:val="center"/>
          </w:tcPr>
          <w:p>
            <w:pPr>
              <w:widowControl/>
              <w:spacing w:line="400" w:lineRule="exact"/>
              <w:jc w:val="center"/>
              <w:rPr>
                <w:color w:val="000000"/>
                <w:kern w:val="0"/>
                <w:szCs w:val="21"/>
              </w:rPr>
            </w:pPr>
            <w:r>
              <w:rPr>
                <w:rFonts w:hint="eastAsia"/>
                <w:color w:val="000000"/>
                <w:kern w:val="0"/>
                <w:szCs w:val="21"/>
              </w:rPr>
              <w:t>预算总体目标与预算总体目标</w:t>
            </w:r>
          </w:p>
          <w:p>
            <w:pPr>
              <w:widowControl/>
              <w:spacing w:line="400" w:lineRule="exact"/>
              <w:jc w:val="center"/>
              <w:rPr>
                <w:color w:val="000000"/>
                <w:kern w:val="0"/>
                <w:szCs w:val="21"/>
              </w:rPr>
            </w:pPr>
            <w:r>
              <w:rPr>
                <w:rFonts w:hint="eastAsia"/>
                <w:color w:val="000000"/>
                <w:kern w:val="0"/>
                <w:szCs w:val="21"/>
              </w:rPr>
              <w:t>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900" w:type="dxa"/>
            <w:vMerge w:val="continue"/>
            <w:tcBorders>
              <w:tl2br w:val="nil"/>
              <w:tr2bl w:val="nil"/>
            </w:tcBorders>
            <w:noWrap w:val="0"/>
            <w:vAlign w:val="center"/>
          </w:tcPr>
          <w:p>
            <w:pPr>
              <w:widowControl/>
              <w:spacing w:line="400" w:lineRule="exact"/>
              <w:jc w:val="left"/>
              <w:rPr>
                <w:color w:val="000000"/>
                <w:kern w:val="0"/>
                <w:szCs w:val="21"/>
              </w:rPr>
            </w:pPr>
          </w:p>
        </w:tc>
        <w:tc>
          <w:tcPr>
            <w:tcW w:w="2086" w:type="dxa"/>
            <w:gridSpan w:val="3"/>
            <w:tcBorders>
              <w:tl2br w:val="nil"/>
              <w:tr2bl w:val="nil"/>
            </w:tcBorders>
            <w:noWrap/>
            <w:vAlign w:val="center"/>
          </w:tcPr>
          <w:p>
            <w:pPr>
              <w:widowControl/>
              <w:spacing w:line="400" w:lineRule="exact"/>
              <w:jc w:val="center"/>
              <w:rPr>
                <w:color w:val="000000"/>
                <w:kern w:val="0"/>
                <w:szCs w:val="21"/>
              </w:rPr>
            </w:pPr>
            <w:r>
              <w:rPr>
                <w:rFonts w:hint="eastAsia" w:ascii="Times New Roman" w:hAnsi="Times New Roman" w:eastAsia="宋体" w:cs="Times New Roman"/>
                <w:color w:val="000000"/>
                <w:kern w:val="0"/>
                <w:szCs w:val="21"/>
              </w:rPr>
              <w:t>目标1:推进基层党建工作，深入推进全面从严治党</w:t>
            </w:r>
          </w:p>
        </w:tc>
        <w:tc>
          <w:tcPr>
            <w:tcW w:w="3205" w:type="dxa"/>
            <w:gridSpan w:val="3"/>
            <w:tcBorders>
              <w:tl2br w:val="nil"/>
              <w:tr2bl w:val="nil"/>
            </w:tcBorders>
            <w:noWrap/>
            <w:vAlign w:val="center"/>
          </w:tcPr>
          <w:p>
            <w:pPr>
              <w:widowControl/>
              <w:spacing w:line="400" w:lineRule="exact"/>
              <w:jc w:val="center"/>
              <w:rPr>
                <w:color w:val="000000"/>
                <w:kern w:val="0"/>
                <w:szCs w:val="21"/>
              </w:rPr>
            </w:pPr>
            <w:r>
              <w:rPr>
                <w:rFonts w:hint="eastAsia"/>
                <w:color w:val="000000"/>
                <w:kern w:val="0"/>
                <w:szCs w:val="21"/>
                <w:lang w:eastAsia="zh-CN"/>
              </w:rPr>
              <w:t>优</w:t>
            </w:r>
          </w:p>
        </w:tc>
        <w:tc>
          <w:tcPr>
            <w:tcW w:w="3425" w:type="dxa"/>
            <w:gridSpan w:val="3"/>
            <w:tcBorders>
              <w:tl2br w:val="nil"/>
              <w:tr2bl w:val="nil"/>
            </w:tcBorders>
            <w:noWrap/>
            <w:vAlign w:val="center"/>
          </w:tcPr>
          <w:p>
            <w:pPr>
              <w:widowControl/>
              <w:spacing w:line="400" w:lineRule="exact"/>
              <w:jc w:val="center"/>
              <w:rPr>
                <w:color w:val="000000"/>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900" w:type="dxa"/>
            <w:vMerge w:val="continue"/>
            <w:tcBorders>
              <w:tl2br w:val="nil"/>
              <w:tr2bl w:val="nil"/>
            </w:tcBorders>
            <w:noWrap w:val="0"/>
            <w:vAlign w:val="center"/>
          </w:tcPr>
          <w:p>
            <w:pPr>
              <w:widowControl/>
              <w:spacing w:line="400" w:lineRule="exact"/>
              <w:jc w:val="left"/>
              <w:rPr>
                <w:color w:val="000000"/>
                <w:kern w:val="0"/>
                <w:szCs w:val="21"/>
              </w:rPr>
            </w:pPr>
          </w:p>
        </w:tc>
        <w:tc>
          <w:tcPr>
            <w:tcW w:w="2086" w:type="dxa"/>
            <w:gridSpan w:val="3"/>
            <w:tcBorders>
              <w:tl2br w:val="nil"/>
              <w:tr2bl w:val="nil"/>
            </w:tcBorders>
            <w:noWrap/>
            <w:vAlign w:val="center"/>
          </w:tcPr>
          <w:p>
            <w:pPr>
              <w:widowControl/>
              <w:spacing w:line="400" w:lineRule="exact"/>
              <w:jc w:val="center"/>
              <w:rPr>
                <w:color w:val="000000"/>
                <w:kern w:val="0"/>
                <w:szCs w:val="21"/>
              </w:rPr>
            </w:pPr>
            <w:r>
              <w:rPr>
                <w:rFonts w:hint="eastAsia" w:ascii="Times New Roman" w:hAnsi="Times New Roman" w:eastAsia="宋体" w:cs="Times New Roman"/>
                <w:color w:val="000000"/>
                <w:kern w:val="0"/>
                <w:szCs w:val="21"/>
              </w:rPr>
              <w:t>目标2: 统筹做好工会、团委、妇联等群团工作</w:t>
            </w:r>
          </w:p>
        </w:tc>
        <w:tc>
          <w:tcPr>
            <w:tcW w:w="3205" w:type="dxa"/>
            <w:gridSpan w:val="3"/>
            <w:tcBorders>
              <w:tl2br w:val="nil"/>
              <w:tr2bl w:val="nil"/>
            </w:tcBorders>
            <w:noWrap/>
            <w:vAlign w:val="center"/>
          </w:tcPr>
          <w:p>
            <w:pPr>
              <w:widowControl/>
              <w:spacing w:line="400" w:lineRule="exact"/>
              <w:jc w:val="center"/>
              <w:rPr>
                <w:color w:val="000000"/>
                <w:kern w:val="0"/>
                <w:szCs w:val="21"/>
              </w:rPr>
            </w:pPr>
            <w:r>
              <w:rPr>
                <w:rFonts w:hint="eastAsia"/>
                <w:color w:val="000000"/>
                <w:kern w:val="0"/>
                <w:szCs w:val="21"/>
                <w:lang w:eastAsia="zh-CN"/>
              </w:rPr>
              <w:t>优</w:t>
            </w:r>
          </w:p>
        </w:tc>
        <w:tc>
          <w:tcPr>
            <w:tcW w:w="3425" w:type="dxa"/>
            <w:gridSpan w:val="3"/>
            <w:tcBorders>
              <w:tl2br w:val="nil"/>
              <w:tr2bl w:val="nil"/>
            </w:tcBorders>
            <w:noWrap/>
            <w:vAlign w:val="center"/>
          </w:tcPr>
          <w:p>
            <w:pPr>
              <w:widowControl/>
              <w:spacing w:line="400" w:lineRule="exact"/>
              <w:jc w:val="center"/>
              <w:rPr>
                <w:color w:val="000000"/>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 w:hRule="atLeast"/>
          <w:jc w:val="center"/>
        </w:trPr>
        <w:tc>
          <w:tcPr>
            <w:tcW w:w="900" w:type="dxa"/>
            <w:vMerge w:val="continue"/>
            <w:tcBorders>
              <w:tl2br w:val="nil"/>
              <w:tr2bl w:val="nil"/>
            </w:tcBorders>
            <w:noWrap w:val="0"/>
            <w:vAlign w:val="center"/>
          </w:tcPr>
          <w:p>
            <w:pPr>
              <w:widowControl/>
              <w:spacing w:line="400" w:lineRule="exact"/>
              <w:jc w:val="left"/>
              <w:rPr>
                <w:color w:val="000000"/>
                <w:kern w:val="0"/>
                <w:szCs w:val="21"/>
              </w:rPr>
            </w:pPr>
          </w:p>
        </w:tc>
        <w:tc>
          <w:tcPr>
            <w:tcW w:w="2086" w:type="dxa"/>
            <w:gridSpan w:val="3"/>
            <w:tcBorders>
              <w:tl2br w:val="nil"/>
              <w:tr2bl w:val="nil"/>
            </w:tcBorders>
            <w:noWrap/>
            <w:vAlign w:val="center"/>
          </w:tcPr>
          <w:p>
            <w:pPr>
              <w:widowControl/>
              <w:spacing w:line="400" w:lineRule="exact"/>
              <w:jc w:val="center"/>
              <w:rPr>
                <w:color w:val="000000"/>
                <w:kern w:val="0"/>
                <w:szCs w:val="21"/>
              </w:rPr>
            </w:pPr>
            <w:r>
              <w:rPr>
                <w:rFonts w:hint="eastAsia" w:ascii="Times New Roman" w:hAnsi="Times New Roman" w:eastAsia="宋体" w:cs="Times New Roman"/>
                <w:color w:val="000000"/>
                <w:kern w:val="0"/>
                <w:szCs w:val="21"/>
              </w:rPr>
              <w:t>目标3:做好文明城市创建工作，提高辖区群众教育水平、卫生水平，丰富文体生活</w:t>
            </w:r>
          </w:p>
        </w:tc>
        <w:tc>
          <w:tcPr>
            <w:tcW w:w="3205" w:type="dxa"/>
            <w:gridSpan w:val="3"/>
            <w:tcBorders>
              <w:tl2br w:val="nil"/>
              <w:tr2bl w:val="nil"/>
            </w:tcBorders>
            <w:noWrap/>
            <w:vAlign w:val="center"/>
          </w:tcPr>
          <w:p>
            <w:pPr>
              <w:widowControl/>
              <w:spacing w:line="400" w:lineRule="exact"/>
              <w:jc w:val="center"/>
              <w:rPr>
                <w:rFonts w:hint="eastAsia" w:eastAsia="宋体"/>
                <w:color w:val="000000"/>
                <w:kern w:val="0"/>
                <w:szCs w:val="21"/>
                <w:lang w:eastAsia="zh-CN"/>
              </w:rPr>
            </w:pPr>
            <w:r>
              <w:rPr>
                <w:rFonts w:hint="eastAsia"/>
                <w:color w:val="000000"/>
                <w:kern w:val="0"/>
                <w:szCs w:val="21"/>
                <w:lang w:eastAsia="zh-CN"/>
              </w:rPr>
              <w:t>良好</w:t>
            </w:r>
          </w:p>
        </w:tc>
        <w:tc>
          <w:tcPr>
            <w:tcW w:w="3425" w:type="dxa"/>
            <w:gridSpan w:val="3"/>
            <w:tcBorders>
              <w:tl2br w:val="nil"/>
              <w:tr2bl w:val="nil"/>
            </w:tcBorders>
            <w:noWrap/>
            <w:vAlign w:val="center"/>
          </w:tcPr>
          <w:p>
            <w:pPr>
              <w:widowControl/>
              <w:spacing w:line="400" w:lineRule="exact"/>
              <w:jc w:val="center"/>
              <w:rPr>
                <w:color w:val="000000"/>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 w:hRule="atLeast"/>
          <w:jc w:val="center"/>
        </w:trPr>
        <w:tc>
          <w:tcPr>
            <w:tcW w:w="900" w:type="dxa"/>
            <w:vMerge w:val="continue"/>
            <w:tcBorders>
              <w:tl2br w:val="nil"/>
              <w:tr2bl w:val="nil"/>
            </w:tcBorders>
            <w:noWrap w:val="0"/>
            <w:vAlign w:val="center"/>
          </w:tcPr>
          <w:p>
            <w:pPr>
              <w:widowControl/>
              <w:spacing w:line="400" w:lineRule="exact"/>
              <w:jc w:val="left"/>
              <w:rPr>
                <w:color w:val="000000"/>
                <w:kern w:val="0"/>
                <w:szCs w:val="21"/>
              </w:rPr>
            </w:pPr>
          </w:p>
        </w:tc>
        <w:tc>
          <w:tcPr>
            <w:tcW w:w="2086" w:type="dxa"/>
            <w:gridSpan w:val="3"/>
            <w:tcBorders>
              <w:tl2br w:val="nil"/>
              <w:tr2bl w:val="nil"/>
            </w:tcBorders>
            <w:noWrap/>
            <w:vAlign w:val="center"/>
          </w:tcPr>
          <w:p>
            <w:pPr>
              <w:widowControl/>
              <w:spacing w:line="400" w:lineRule="exact"/>
              <w:jc w:val="center"/>
              <w:rPr>
                <w:rFonts w:hint="eastAsia"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目标4：切实做好社会保障工作，完善社会保障体系</w:t>
            </w:r>
          </w:p>
        </w:tc>
        <w:tc>
          <w:tcPr>
            <w:tcW w:w="3205" w:type="dxa"/>
            <w:gridSpan w:val="3"/>
            <w:tcBorders>
              <w:tl2br w:val="nil"/>
              <w:tr2bl w:val="nil"/>
            </w:tcBorders>
            <w:noWrap/>
            <w:vAlign w:val="center"/>
          </w:tcPr>
          <w:p>
            <w:pPr>
              <w:widowControl/>
              <w:spacing w:line="400" w:lineRule="exact"/>
              <w:jc w:val="center"/>
              <w:rPr>
                <w:rFonts w:hint="eastAsia" w:eastAsia="宋体"/>
                <w:color w:val="000000"/>
                <w:kern w:val="0"/>
                <w:szCs w:val="21"/>
                <w:lang w:eastAsia="zh-CN"/>
              </w:rPr>
            </w:pPr>
            <w:r>
              <w:rPr>
                <w:rFonts w:hint="eastAsia"/>
                <w:color w:val="000000"/>
                <w:kern w:val="0"/>
                <w:szCs w:val="21"/>
                <w:lang w:eastAsia="zh-CN"/>
              </w:rPr>
              <w:t>优</w:t>
            </w:r>
          </w:p>
        </w:tc>
        <w:tc>
          <w:tcPr>
            <w:tcW w:w="3425" w:type="dxa"/>
            <w:gridSpan w:val="3"/>
            <w:tcBorders>
              <w:tl2br w:val="nil"/>
              <w:tr2bl w:val="nil"/>
            </w:tcBorders>
            <w:noWrap/>
            <w:vAlign w:val="center"/>
          </w:tcPr>
          <w:p>
            <w:pPr>
              <w:widowControl/>
              <w:spacing w:line="400" w:lineRule="exact"/>
              <w:jc w:val="center"/>
              <w:rPr>
                <w:rFonts w:hint="eastAsia"/>
                <w:color w:val="000000"/>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 w:hRule="atLeast"/>
          <w:jc w:val="center"/>
        </w:trPr>
        <w:tc>
          <w:tcPr>
            <w:tcW w:w="900" w:type="dxa"/>
            <w:vMerge w:val="continue"/>
            <w:tcBorders>
              <w:tl2br w:val="nil"/>
              <w:tr2bl w:val="nil"/>
            </w:tcBorders>
            <w:noWrap w:val="0"/>
            <w:vAlign w:val="center"/>
          </w:tcPr>
          <w:p>
            <w:pPr>
              <w:widowControl/>
              <w:spacing w:line="400" w:lineRule="exact"/>
              <w:jc w:val="left"/>
              <w:rPr>
                <w:color w:val="000000"/>
                <w:kern w:val="0"/>
                <w:szCs w:val="21"/>
              </w:rPr>
            </w:pPr>
          </w:p>
        </w:tc>
        <w:tc>
          <w:tcPr>
            <w:tcW w:w="2086" w:type="dxa"/>
            <w:gridSpan w:val="3"/>
            <w:tcBorders>
              <w:tl2br w:val="nil"/>
              <w:tr2bl w:val="nil"/>
            </w:tcBorders>
            <w:noWrap/>
            <w:vAlign w:val="center"/>
          </w:tcPr>
          <w:p>
            <w:pPr>
              <w:widowControl/>
              <w:spacing w:line="400" w:lineRule="exact"/>
              <w:jc w:val="center"/>
              <w:rPr>
                <w:rFonts w:hint="eastAsia"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目标5：维护网格化管理分中心正常运行，做好基层综合治理、上访维稳等工作</w:t>
            </w:r>
          </w:p>
        </w:tc>
        <w:tc>
          <w:tcPr>
            <w:tcW w:w="3205" w:type="dxa"/>
            <w:gridSpan w:val="3"/>
            <w:tcBorders>
              <w:tl2br w:val="nil"/>
              <w:tr2bl w:val="nil"/>
            </w:tcBorders>
            <w:noWrap/>
            <w:vAlign w:val="center"/>
          </w:tcPr>
          <w:p>
            <w:pPr>
              <w:widowControl/>
              <w:spacing w:line="400" w:lineRule="exact"/>
              <w:jc w:val="center"/>
              <w:rPr>
                <w:color w:val="000000"/>
                <w:kern w:val="0"/>
                <w:szCs w:val="21"/>
              </w:rPr>
            </w:pPr>
            <w:r>
              <w:rPr>
                <w:rFonts w:hint="eastAsia"/>
                <w:color w:val="000000"/>
                <w:kern w:val="0"/>
                <w:szCs w:val="21"/>
                <w:lang w:eastAsia="zh-CN"/>
              </w:rPr>
              <w:t>优</w:t>
            </w:r>
          </w:p>
        </w:tc>
        <w:tc>
          <w:tcPr>
            <w:tcW w:w="3425" w:type="dxa"/>
            <w:gridSpan w:val="3"/>
            <w:tcBorders>
              <w:tl2br w:val="nil"/>
              <w:tr2bl w:val="nil"/>
            </w:tcBorders>
            <w:noWrap/>
            <w:vAlign w:val="center"/>
          </w:tcPr>
          <w:p>
            <w:pPr>
              <w:widowControl/>
              <w:spacing w:line="400" w:lineRule="exact"/>
              <w:jc w:val="center"/>
              <w:rPr>
                <w:color w:val="000000"/>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 w:hRule="atLeast"/>
          <w:jc w:val="center"/>
        </w:trPr>
        <w:tc>
          <w:tcPr>
            <w:tcW w:w="900" w:type="dxa"/>
            <w:vMerge w:val="continue"/>
            <w:tcBorders>
              <w:tl2br w:val="nil"/>
              <w:tr2bl w:val="nil"/>
            </w:tcBorders>
            <w:noWrap w:val="0"/>
            <w:vAlign w:val="center"/>
          </w:tcPr>
          <w:p>
            <w:pPr>
              <w:widowControl/>
              <w:spacing w:line="400" w:lineRule="exact"/>
              <w:jc w:val="left"/>
              <w:rPr>
                <w:color w:val="000000"/>
                <w:kern w:val="0"/>
                <w:szCs w:val="21"/>
              </w:rPr>
            </w:pPr>
          </w:p>
        </w:tc>
        <w:tc>
          <w:tcPr>
            <w:tcW w:w="2086" w:type="dxa"/>
            <w:gridSpan w:val="3"/>
            <w:tcBorders>
              <w:tl2br w:val="nil"/>
              <w:tr2bl w:val="nil"/>
            </w:tcBorders>
            <w:noWrap/>
            <w:vAlign w:val="center"/>
          </w:tcPr>
          <w:p>
            <w:pPr>
              <w:widowControl/>
              <w:spacing w:line="400" w:lineRule="exact"/>
              <w:jc w:val="center"/>
              <w:rPr>
                <w:rFonts w:hint="eastAsia"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目标6：做好安全生产与监督管理工作</w:t>
            </w:r>
          </w:p>
        </w:tc>
        <w:tc>
          <w:tcPr>
            <w:tcW w:w="3205" w:type="dxa"/>
            <w:gridSpan w:val="3"/>
            <w:tcBorders>
              <w:tl2br w:val="nil"/>
              <w:tr2bl w:val="nil"/>
            </w:tcBorders>
            <w:noWrap/>
            <w:vAlign w:val="center"/>
          </w:tcPr>
          <w:p>
            <w:pPr>
              <w:widowControl/>
              <w:spacing w:line="400" w:lineRule="exact"/>
              <w:jc w:val="center"/>
              <w:rPr>
                <w:rFonts w:hint="eastAsia"/>
                <w:color w:val="000000"/>
                <w:kern w:val="0"/>
                <w:szCs w:val="21"/>
              </w:rPr>
            </w:pPr>
            <w:r>
              <w:rPr>
                <w:rFonts w:hint="eastAsia"/>
                <w:color w:val="000000"/>
                <w:kern w:val="0"/>
                <w:szCs w:val="21"/>
                <w:lang w:eastAsia="zh-CN"/>
              </w:rPr>
              <w:t>优</w:t>
            </w:r>
          </w:p>
        </w:tc>
        <w:tc>
          <w:tcPr>
            <w:tcW w:w="3425" w:type="dxa"/>
            <w:gridSpan w:val="3"/>
            <w:tcBorders>
              <w:tl2br w:val="nil"/>
              <w:tr2bl w:val="nil"/>
            </w:tcBorders>
            <w:noWrap/>
            <w:vAlign w:val="center"/>
          </w:tcPr>
          <w:p>
            <w:pPr>
              <w:widowControl/>
              <w:spacing w:line="400" w:lineRule="exact"/>
              <w:jc w:val="center"/>
              <w:rPr>
                <w:rFonts w:hint="eastAsia"/>
                <w:color w:val="000000"/>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04" w:hRule="atLeast"/>
          <w:jc w:val="center"/>
        </w:trPr>
        <w:tc>
          <w:tcPr>
            <w:tcW w:w="900" w:type="dxa"/>
            <w:vMerge w:val="continue"/>
            <w:tcBorders>
              <w:tl2br w:val="nil"/>
              <w:tr2bl w:val="nil"/>
            </w:tcBorders>
            <w:noWrap w:val="0"/>
            <w:vAlign w:val="center"/>
          </w:tcPr>
          <w:p>
            <w:pPr>
              <w:widowControl/>
              <w:spacing w:line="400" w:lineRule="exact"/>
              <w:jc w:val="left"/>
              <w:rPr>
                <w:color w:val="000000"/>
                <w:kern w:val="0"/>
                <w:szCs w:val="21"/>
              </w:rPr>
            </w:pPr>
          </w:p>
        </w:tc>
        <w:tc>
          <w:tcPr>
            <w:tcW w:w="2086" w:type="dxa"/>
            <w:gridSpan w:val="3"/>
            <w:tcBorders>
              <w:tl2br w:val="nil"/>
              <w:tr2bl w:val="nil"/>
            </w:tcBorders>
            <w:noWrap/>
            <w:vAlign w:val="center"/>
          </w:tcPr>
          <w:p>
            <w:pPr>
              <w:widowControl/>
              <w:spacing w:line="400" w:lineRule="exact"/>
              <w:jc w:val="center"/>
              <w:rPr>
                <w:rFonts w:hint="eastAsia"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目标</w:t>
            </w:r>
            <w:r>
              <w:rPr>
                <w:rFonts w:hint="eastAsia" w:ascii="Times New Roman" w:hAnsi="Times New Roman" w:eastAsia="宋体" w:cs="Times New Roman"/>
                <w:color w:val="000000"/>
                <w:kern w:val="0"/>
                <w:szCs w:val="21"/>
                <w:lang w:val="en-US" w:eastAsia="zh-CN"/>
              </w:rPr>
              <w:t>7</w:t>
            </w:r>
            <w:r>
              <w:rPr>
                <w:rFonts w:hint="eastAsia" w:ascii="Times New Roman" w:hAnsi="Times New Roman" w:eastAsia="宋体" w:cs="Times New Roman"/>
                <w:color w:val="000000"/>
                <w:kern w:val="0"/>
                <w:szCs w:val="21"/>
              </w:rPr>
              <w:t>：做好村（社区）账街代理工作，保证社区、村级组织健康、正常运转</w:t>
            </w:r>
          </w:p>
        </w:tc>
        <w:tc>
          <w:tcPr>
            <w:tcW w:w="3205" w:type="dxa"/>
            <w:gridSpan w:val="3"/>
            <w:tcBorders>
              <w:tl2br w:val="nil"/>
              <w:tr2bl w:val="nil"/>
            </w:tcBorders>
            <w:noWrap/>
            <w:vAlign w:val="center"/>
          </w:tcPr>
          <w:p>
            <w:pPr>
              <w:widowControl/>
              <w:spacing w:line="400" w:lineRule="exact"/>
              <w:jc w:val="center"/>
              <w:rPr>
                <w:color w:val="000000"/>
                <w:kern w:val="0"/>
                <w:szCs w:val="21"/>
              </w:rPr>
            </w:pPr>
            <w:r>
              <w:rPr>
                <w:rFonts w:hint="eastAsia"/>
                <w:color w:val="000000"/>
                <w:kern w:val="0"/>
                <w:szCs w:val="21"/>
                <w:lang w:eastAsia="zh-CN"/>
              </w:rPr>
              <w:t>优</w:t>
            </w:r>
          </w:p>
        </w:tc>
        <w:tc>
          <w:tcPr>
            <w:tcW w:w="3425" w:type="dxa"/>
            <w:gridSpan w:val="3"/>
            <w:tcBorders>
              <w:tl2br w:val="nil"/>
              <w:tr2bl w:val="nil"/>
            </w:tcBorders>
            <w:noWrap/>
            <w:vAlign w:val="center"/>
          </w:tcPr>
          <w:p>
            <w:pPr>
              <w:widowControl/>
              <w:spacing w:line="400" w:lineRule="exact"/>
              <w:jc w:val="center"/>
              <w:rPr>
                <w:color w:val="000000"/>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900" w:type="dxa"/>
            <w:vMerge w:val="continue"/>
            <w:tcBorders>
              <w:tl2br w:val="nil"/>
              <w:tr2bl w:val="nil"/>
            </w:tcBorders>
            <w:noWrap w:val="0"/>
            <w:vAlign w:val="center"/>
          </w:tcPr>
          <w:p>
            <w:pPr>
              <w:widowControl/>
              <w:spacing w:line="400" w:lineRule="exact"/>
              <w:jc w:val="left"/>
              <w:rPr>
                <w:color w:val="000000"/>
                <w:kern w:val="0"/>
                <w:szCs w:val="21"/>
              </w:rPr>
            </w:pPr>
          </w:p>
        </w:tc>
        <w:tc>
          <w:tcPr>
            <w:tcW w:w="2086" w:type="dxa"/>
            <w:gridSpan w:val="3"/>
            <w:tcBorders>
              <w:tl2br w:val="nil"/>
              <w:tr2bl w:val="nil"/>
            </w:tcBorders>
            <w:noWrap/>
            <w:vAlign w:val="center"/>
          </w:tcPr>
          <w:p>
            <w:pPr>
              <w:widowControl/>
              <w:spacing w:line="400" w:lineRule="exact"/>
              <w:jc w:val="center"/>
              <w:rPr>
                <w:rFonts w:hint="eastAsia"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目标</w:t>
            </w:r>
            <w:r>
              <w:rPr>
                <w:rFonts w:hint="eastAsia" w:ascii="Times New Roman" w:hAnsi="Times New Roman" w:eastAsia="宋体" w:cs="Times New Roman"/>
                <w:color w:val="000000"/>
                <w:kern w:val="0"/>
                <w:szCs w:val="21"/>
                <w:lang w:val="en-US" w:eastAsia="zh-CN"/>
              </w:rPr>
              <w:t>8</w:t>
            </w:r>
            <w:r>
              <w:rPr>
                <w:rFonts w:hint="eastAsia" w:ascii="Times New Roman" w:hAnsi="Times New Roman" w:eastAsia="宋体" w:cs="Times New Roman"/>
                <w:color w:val="000000"/>
                <w:kern w:val="0"/>
                <w:szCs w:val="21"/>
              </w:rPr>
              <w:t>：做好退役军人服务工作</w:t>
            </w:r>
          </w:p>
        </w:tc>
        <w:tc>
          <w:tcPr>
            <w:tcW w:w="3205" w:type="dxa"/>
            <w:gridSpan w:val="3"/>
            <w:tcBorders>
              <w:tl2br w:val="nil"/>
              <w:tr2bl w:val="nil"/>
            </w:tcBorders>
            <w:noWrap/>
            <w:vAlign w:val="center"/>
          </w:tcPr>
          <w:p>
            <w:pPr>
              <w:widowControl/>
              <w:spacing w:line="400" w:lineRule="exact"/>
              <w:jc w:val="center"/>
              <w:rPr>
                <w:color w:val="000000"/>
                <w:kern w:val="0"/>
                <w:szCs w:val="21"/>
              </w:rPr>
            </w:pPr>
            <w:r>
              <w:rPr>
                <w:rFonts w:hint="eastAsia"/>
                <w:color w:val="000000"/>
                <w:kern w:val="0"/>
                <w:szCs w:val="21"/>
                <w:lang w:eastAsia="zh-CN"/>
              </w:rPr>
              <w:t>优</w:t>
            </w:r>
          </w:p>
        </w:tc>
        <w:tc>
          <w:tcPr>
            <w:tcW w:w="3425" w:type="dxa"/>
            <w:gridSpan w:val="3"/>
            <w:tcBorders>
              <w:tl2br w:val="nil"/>
              <w:tr2bl w:val="nil"/>
            </w:tcBorders>
            <w:noWrap/>
            <w:vAlign w:val="center"/>
          </w:tcPr>
          <w:p>
            <w:pPr>
              <w:widowControl/>
              <w:spacing w:line="400" w:lineRule="exact"/>
              <w:jc w:val="center"/>
              <w:rPr>
                <w:color w:val="000000"/>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00" w:hRule="atLeast"/>
          <w:jc w:val="center"/>
        </w:trPr>
        <w:tc>
          <w:tcPr>
            <w:tcW w:w="900" w:type="dxa"/>
            <w:vMerge w:val="restart"/>
            <w:tcBorders>
              <w:tl2br w:val="nil"/>
              <w:tr2bl w:val="nil"/>
            </w:tcBorders>
            <w:noWrap/>
            <w:vAlign w:val="center"/>
          </w:tcPr>
          <w:p>
            <w:pPr>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目标1：党建</w:t>
            </w:r>
          </w:p>
        </w:tc>
        <w:tc>
          <w:tcPr>
            <w:tcW w:w="922"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一级</w:t>
            </w:r>
          </w:p>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w:t>
            </w:r>
          </w:p>
        </w:tc>
        <w:tc>
          <w:tcPr>
            <w:tcW w:w="116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二级指标</w:t>
            </w:r>
          </w:p>
        </w:tc>
        <w:tc>
          <w:tcPr>
            <w:tcW w:w="1800"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三级</w:t>
            </w:r>
          </w:p>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w:t>
            </w:r>
          </w:p>
        </w:tc>
        <w:tc>
          <w:tcPr>
            <w:tcW w:w="1405"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预算指标值(包含数字及文字描述)</w:t>
            </w:r>
          </w:p>
        </w:tc>
        <w:tc>
          <w:tcPr>
            <w:tcW w:w="181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预算指标值执行结果(包含数字及文字描述)</w:t>
            </w:r>
          </w:p>
        </w:tc>
        <w:tc>
          <w:tcPr>
            <w:tcW w:w="1611"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预算指标值与预算指标值执行结果偏差情况及原因分析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00" w:type="dxa"/>
            <w:vMerge w:val="continue"/>
            <w:tcBorders>
              <w:tl2br w:val="nil"/>
              <w:tr2bl w:val="nil"/>
            </w:tcBorders>
            <w:vAlign w:val="center"/>
          </w:tcPr>
          <w:p>
            <w:pPr>
              <w:spacing w:line="240" w:lineRule="exact"/>
              <w:jc w:val="center"/>
              <w:rPr>
                <w:rFonts w:hint="eastAsia" w:asciiTheme="minorEastAsia" w:hAnsiTheme="minorEastAsia" w:eastAsiaTheme="minorEastAsia" w:cstheme="minorEastAsia"/>
                <w:color w:val="000000"/>
                <w:kern w:val="0"/>
                <w:sz w:val="21"/>
                <w:szCs w:val="21"/>
              </w:rPr>
            </w:pPr>
          </w:p>
        </w:tc>
        <w:tc>
          <w:tcPr>
            <w:tcW w:w="922" w:type="dxa"/>
            <w:vMerge w:val="restart"/>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项目</w:t>
            </w:r>
          </w:p>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完成</w:t>
            </w:r>
          </w:p>
        </w:tc>
        <w:tc>
          <w:tcPr>
            <w:tcW w:w="1164" w:type="dxa"/>
            <w:gridSpan w:val="2"/>
            <w:vMerge w:val="restart"/>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数量</w:t>
            </w:r>
          </w:p>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w:t>
            </w:r>
          </w:p>
        </w:tc>
        <w:tc>
          <w:tcPr>
            <w:tcW w:w="1800"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指标1:组织街道及各村（社区）党支部书记召开党建工作会议</w:t>
            </w:r>
          </w:p>
        </w:tc>
        <w:tc>
          <w:tcPr>
            <w:tcW w:w="1405"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12次</w:t>
            </w:r>
          </w:p>
        </w:tc>
        <w:tc>
          <w:tcPr>
            <w:tcW w:w="181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12次</w:t>
            </w:r>
          </w:p>
        </w:tc>
        <w:tc>
          <w:tcPr>
            <w:tcW w:w="1611"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00" w:type="dxa"/>
            <w:vMerge w:val="continue"/>
            <w:tcBorders>
              <w:tl2br w:val="nil"/>
              <w:tr2bl w:val="nil"/>
            </w:tcBorders>
            <w:vAlign w:val="center"/>
          </w:tcPr>
          <w:p>
            <w:pPr>
              <w:spacing w:line="240" w:lineRule="exact"/>
              <w:jc w:val="center"/>
              <w:rPr>
                <w:rFonts w:hint="eastAsia" w:asciiTheme="minorEastAsia" w:hAnsiTheme="minorEastAsia" w:eastAsiaTheme="minorEastAsia" w:cstheme="minorEastAsia"/>
                <w:color w:val="000000"/>
                <w:kern w:val="0"/>
                <w:sz w:val="21"/>
                <w:szCs w:val="21"/>
              </w:rPr>
            </w:pPr>
          </w:p>
        </w:tc>
        <w:tc>
          <w:tcPr>
            <w:tcW w:w="922" w:type="dxa"/>
            <w:vMerge w:val="continue"/>
            <w:tcBorders>
              <w:tl2br w:val="nil"/>
              <w:tr2bl w:val="nil"/>
            </w:tcBorders>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1164" w:type="dxa"/>
            <w:gridSpan w:val="2"/>
            <w:vMerge w:val="continue"/>
            <w:tcBorders>
              <w:tl2br w:val="nil"/>
              <w:tr2bl w:val="nil"/>
            </w:tcBorders>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1800"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指标2:开展党政班子集中学习</w:t>
            </w:r>
          </w:p>
        </w:tc>
        <w:tc>
          <w:tcPr>
            <w:tcW w:w="1405"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4次</w:t>
            </w:r>
          </w:p>
        </w:tc>
        <w:tc>
          <w:tcPr>
            <w:tcW w:w="181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4次</w:t>
            </w:r>
          </w:p>
        </w:tc>
        <w:tc>
          <w:tcPr>
            <w:tcW w:w="1611"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00" w:type="dxa"/>
            <w:vMerge w:val="continue"/>
            <w:tcBorders>
              <w:tl2br w:val="nil"/>
              <w:tr2bl w:val="nil"/>
            </w:tcBorders>
            <w:vAlign w:val="center"/>
          </w:tcPr>
          <w:p>
            <w:pPr>
              <w:spacing w:line="240" w:lineRule="exact"/>
              <w:jc w:val="center"/>
              <w:rPr>
                <w:rFonts w:hint="eastAsia" w:asciiTheme="minorEastAsia" w:hAnsiTheme="minorEastAsia" w:eastAsiaTheme="minorEastAsia" w:cstheme="minorEastAsia"/>
                <w:color w:val="000000"/>
                <w:kern w:val="0"/>
                <w:sz w:val="21"/>
                <w:szCs w:val="21"/>
              </w:rPr>
            </w:pPr>
          </w:p>
        </w:tc>
        <w:tc>
          <w:tcPr>
            <w:tcW w:w="922" w:type="dxa"/>
            <w:vMerge w:val="continue"/>
            <w:tcBorders>
              <w:tl2br w:val="nil"/>
              <w:tr2bl w:val="nil"/>
            </w:tcBorders>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1164" w:type="dxa"/>
            <w:gridSpan w:val="2"/>
            <w:vMerge w:val="continue"/>
            <w:tcBorders>
              <w:tl2br w:val="nil"/>
              <w:tr2bl w:val="nil"/>
            </w:tcBorders>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1800"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指标3:开展村、社区党员干部春训、冬训等集中教育培训活动</w:t>
            </w:r>
          </w:p>
        </w:tc>
        <w:tc>
          <w:tcPr>
            <w:tcW w:w="1405"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4次</w:t>
            </w:r>
          </w:p>
        </w:tc>
        <w:tc>
          <w:tcPr>
            <w:tcW w:w="181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4次</w:t>
            </w:r>
          </w:p>
        </w:tc>
        <w:tc>
          <w:tcPr>
            <w:tcW w:w="1611"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00" w:type="dxa"/>
            <w:vMerge w:val="continue"/>
            <w:tcBorders>
              <w:tl2br w:val="nil"/>
              <w:tr2bl w:val="nil"/>
            </w:tcBorders>
            <w:vAlign w:val="center"/>
          </w:tcPr>
          <w:p>
            <w:pPr>
              <w:spacing w:line="240" w:lineRule="exact"/>
              <w:jc w:val="center"/>
              <w:rPr>
                <w:rFonts w:hint="eastAsia" w:asciiTheme="minorEastAsia" w:hAnsiTheme="minorEastAsia" w:eastAsiaTheme="minorEastAsia" w:cstheme="minorEastAsia"/>
                <w:color w:val="000000"/>
                <w:kern w:val="0"/>
                <w:sz w:val="21"/>
                <w:szCs w:val="21"/>
              </w:rPr>
            </w:pPr>
          </w:p>
        </w:tc>
        <w:tc>
          <w:tcPr>
            <w:tcW w:w="922" w:type="dxa"/>
            <w:vMerge w:val="continue"/>
            <w:tcBorders>
              <w:tl2br w:val="nil"/>
              <w:tr2bl w:val="nil"/>
            </w:tcBorders>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1164" w:type="dxa"/>
            <w:gridSpan w:val="2"/>
            <w:vMerge w:val="continue"/>
            <w:tcBorders>
              <w:tl2br w:val="nil"/>
              <w:tr2bl w:val="nil"/>
            </w:tcBorders>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1800"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指标4:推选先进基层党组织</w:t>
            </w:r>
          </w:p>
        </w:tc>
        <w:tc>
          <w:tcPr>
            <w:tcW w:w="1405"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2个</w:t>
            </w:r>
          </w:p>
        </w:tc>
        <w:tc>
          <w:tcPr>
            <w:tcW w:w="181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2个</w:t>
            </w:r>
          </w:p>
        </w:tc>
        <w:tc>
          <w:tcPr>
            <w:tcW w:w="1611"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00" w:type="dxa"/>
            <w:vMerge w:val="continue"/>
            <w:tcBorders>
              <w:tl2br w:val="nil"/>
              <w:tr2bl w:val="nil"/>
            </w:tcBorders>
            <w:vAlign w:val="center"/>
          </w:tcPr>
          <w:p>
            <w:pPr>
              <w:spacing w:line="240" w:lineRule="exact"/>
              <w:jc w:val="center"/>
              <w:rPr>
                <w:rFonts w:hint="eastAsia" w:asciiTheme="minorEastAsia" w:hAnsiTheme="minorEastAsia" w:eastAsiaTheme="minorEastAsia" w:cstheme="minorEastAsia"/>
                <w:color w:val="000000"/>
                <w:kern w:val="0"/>
                <w:sz w:val="21"/>
                <w:szCs w:val="21"/>
              </w:rPr>
            </w:pPr>
          </w:p>
        </w:tc>
        <w:tc>
          <w:tcPr>
            <w:tcW w:w="922" w:type="dxa"/>
            <w:vMerge w:val="continue"/>
            <w:tcBorders>
              <w:tl2br w:val="nil"/>
              <w:tr2bl w:val="nil"/>
            </w:tcBorders>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1164" w:type="dxa"/>
            <w:gridSpan w:val="2"/>
            <w:vMerge w:val="continue"/>
            <w:tcBorders>
              <w:tl2br w:val="nil"/>
              <w:tr2bl w:val="nil"/>
            </w:tcBorders>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1800"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指标5:推选优秀党务工作者</w:t>
            </w:r>
          </w:p>
        </w:tc>
        <w:tc>
          <w:tcPr>
            <w:tcW w:w="1405"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4名</w:t>
            </w:r>
          </w:p>
        </w:tc>
        <w:tc>
          <w:tcPr>
            <w:tcW w:w="181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4名</w:t>
            </w:r>
          </w:p>
        </w:tc>
        <w:tc>
          <w:tcPr>
            <w:tcW w:w="1611"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00" w:type="dxa"/>
            <w:vMerge w:val="continue"/>
            <w:tcBorders>
              <w:tl2br w:val="nil"/>
              <w:tr2bl w:val="nil"/>
            </w:tcBorders>
            <w:vAlign w:val="center"/>
          </w:tcPr>
          <w:p>
            <w:pPr>
              <w:spacing w:line="240" w:lineRule="exact"/>
              <w:jc w:val="center"/>
              <w:rPr>
                <w:rFonts w:hint="eastAsia" w:asciiTheme="minorEastAsia" w:hAnsiTheme="minorEastAsia" w:eastAsiaTheme="minorEastAsia" w:cstheme="minorEastAsia"/>
                <w:color w:val="000000"/>
                <w:kern w:val="0"/>
                <w:sz w:val="21"/>
                <w:szCs w:val="21"/>
              </w:rPr>
            </w:pPr>
          </w:p>
        </w:tc>
        <w:tc>
          <w:tcPr>
            <w:tcW w:w="922" w:type="dxa"/>
            <w:vMerge w:val="continue"/>
            <w:tcBorders>
              <w:tl2br w:val="nil"/>
              <w:tr2bl w:val="nil"/>
            </w:tcBorders>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1164" w:type="dxa"/>
            <w:gridSpan w:val="2"/>
            <w:vMerge w:val="restart"/>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质量</w:t>
            </w:r>
          </w:p>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w:t>
            </w:r>
          </w:p>
        </w:tc>
        <w:tc>
          <w:tcPr>
            <w:tcW w:w="1800"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指标1:会议到场率</w:t>
            </w:r>
          </w:p>
        </w:tc>
        <w:tc>
          <w:tcPr>
            <w:tcW w:w="1405"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100%</w:t>
            </w:r>
          </w:p>
        </w:tc>
        <w:tc>
          <w:tcPr>
            <w:tcW w:w="181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96%</w:t>
            </w:r>
          </w:p>
        </w:tc>
        <w:tc>
          <w:tcPr>
            <w:tcW w:w="1611"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偶尔有参会人员因事未到场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00" w:type="dxa"/>
            <w:vMerge w:val="continue"/>
            <w:tcBorders>
              <w:tl2br w:val="nil"/>
              <w:tr2bl w:val="nil"/>
            </w:tcBorders>
            <w:vAlign w:val="center"/>
          </w:tcPr>
          <w:p>
            <w:pPr>
              <w:spacing w:line="240" w:lineRule="exact"/>
              <w:jc w:val="center"/>
              <w:rPr>
                <w:rFonts w:hint="eastAsia" w:asciiTheme="minorEastAsia" w:hAnsiTheme="minorEastAsia" w:eastAsiaTheme="minorEastAsia" w:cstheme="minorEastAsia"/>
                <w:color w:val="000000"/>
                <w:kern w:val="0"/>
                <w:sz w:val="21"/>
                <w:szCs w:val="21"/>
              </w:rPr>
            </w:pPr>
          </w:p>
        </w:tc>
        <w:tc>
          <w:tcPr>
            <w:tcW w:w="922" w:type="dxa"/>
            <w:vMerge w:val="continue"/>
            <w:tcBorders>
              <w:tl2br w:val="nil"/>
              <w:tr2bl w:val="nil"/>
            </w:tcBorders>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1164" w:type="dxa"/>
            <w:gridSpan w:val="2"/>
            <w:vMerge w:val="continue"/>
            <w:tcBorders>
              <w:tl2br w:val="nil"/>
              <w:tr2bl w:val="nil"/>
            </w:tcBorders>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1800"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指标2:培训考试通过率</w:t>
            </w:r>
          </w:p>
        </w:tc>
        <w:tc>
          <w:tcPr>
            <w:tcW w:w="1405"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95%</w:t>
            </w:r>
          </w:p>
        </w:tc>
        <w:tc>
          <w:tcPr>
            <w:tcW w:w="181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90%</w:t>
            </w:r>
          </w:p>
        </w:tc>
        <w:tc>
          <w:tcPr>
            <w:tcW w:w="1611"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lang w:val="en-US" w:eastAsia="zh-CN"/>
              </w:rPr>
            </w:pPr>
            <w:r>
              <w:rPr>
                <w:rFonts w:hint="eastAsia" w:asciiTheme="minorEastAsia" w:hAnsiTheme="minorEastAsia" w:eastAsiaTheme="minorEastAsia" w:cstheme="minorEastAsia"/>
                <w:color w:val="000000"/>
                <w:kern w:val="0"/>
                <w:sz w:val="21"/>
                <w:szCs w:val="21"/>
                <w:lang w:eastAsia="zh-CN"/>
              </w:rPr>
              <w:t>会对未通过的</w:t>
            </w:r>
            <w:r>
              <w:rPr>
                <w:rFonts w:hint="eastAsia" w:asciiTheme="minorEastAsia" w:hAnsiTheme="minorEastAsia" w:eastAsiaTheme="minorEastAsia" w:cstheme="minorEastAsia"/>
                <w:color w:val="000000"/>
                <w:kern w:val="0"/>
                <w:sz w:val="21"/>
                <w:szCs w:val="21"/>
                <w:lang w:val="en-US" w:eastAsia="zh-CN"/>
              </w:rPr>
              <w:t>10%进行二次补考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00" w:type="dxa"/>
            <w:vMerge w:val="continue"/>
            <w:tcBorders>
              <w:tl2br w:val="nil"/>
              <w:tr2bl w:val="nil"/>
            </w:tcBorders>
            <w:vAlign w:val="center"/>
          </w:tcPr>
          <w:p>
            <w:pPr>
              <w:spacing w:line="240" w:lineRule="exact"/>
              <w:jc w:val="center"/>
              <w:rPr>
                <w:rFonts w:hint="eastAsia" w:asciiTheme="minorEastAsia" w:hAnsiTheme="minorEastAsia" w:eastAsiaTheme="minorEastAsia" w:cstheme="minorEastAsia"/>
                <w:color w:val="000000"/>
                <w:kern w:val="0"/>
                <w:sz w:val="21"/>
                <w:szCs w:val="21"/>
              </w:rPr>
            </w:pPr>
          </w:p>
        </w:tc>
        <w:tc>
          <w:tcPr>
            <w:tcW w:w="922" w:type="dxa"/>
            <w:vMerge w:val="continue"/>
            <w:tcBorders>
              <w:tl2br w:val="nil"/>
              <w:tr2bl w:val="nil"/>
            </w:tcBorders>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1164" w:type="dxa"/>
            <w:gridSpan w:val="2"/>
            <w:vMerge w:val="restart"/>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时效</w:t>
            </w:r>
          </w:p>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w:t>
            </w:r>
          </w:p>
        </w:tc>
        <w:tc>
          <w:tcPr>
            <w:tcW w:w="1800"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指标1:按时开展会议及培训</w:t>
            </w:r>
          </w:p>
        </w:tc>
        <w:tc>
          <w:tcPr>
            <w:tcW w:w="1405"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100%</w:t>
            </w:r>
          </w:p>
        </w:tc>
        <w:tc>
          <w:tcPr>
            <w:tcW w:w="181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100%</w:t>
            </w:r>
          </w:p>
        </w:tc>
        <w:tc>
          <w:tcPr>
            <w:tcW w:w="1611"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00" w:type="dxa"/>
            <w:vMerge w:val="continue"/>
            <w:tcBorders>
              <w:tl2br w:val="nil"/>
              <w:tr2bl w:val="nil"/>
            </w:tcBorders>
            <w:vAlign w:val="center"/>
          </w:tcPr>
          <w:p>
            <w:pPr>
              <w:spacing w:line="240" w:lineRule="exact"/>
              <w:jc w:val="center"/>
              <w:rPr>
                <w:rFonts w:hint="eastAsia" w:asciiTheme="minorEastAsia" w:hAnsiTheme="minorEastAsia" w:eastAsiaTheme="minorEastAsia" w:cstheme="minorEastAsia"/>
                <w:color w:val="000000"/>
                <w:kern w:val="0"/>
                <w:sz w:val="21"/>
                <w:szCs w:val="21"/>
              </w:rPr>
            </w:pPr>
          </w:p>
        </w:tc>
        <w:tc>
          <w:tcPr>
            <w:tcW w:w="922" w:type="dxa"/>
            <w:vMerge w:val="continue"/>
            <w:tcBorders>
              <w:tl2br w:val="nil"/>
              <w:tr2bl w:val="nil"/>
            </w:tcBorders>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1164" w:type="dxa"/>
            <w:gridSpan w:val="2"/>
            <w:vMerge w:val="continue"/>
            <w:tcBorders>
              <w:tl2br w:val="nil"/>
              <w:tr2bl w:val="nil"/>
            </w:tcBorders>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1800"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指标2:按时进行评优评先工作</w:t>
            </w:r>
          </w:p>
        </w:tc>
        <w:tc>
          <w:tcPr>
            <w:tcW w:w="1405"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100%</w:t>
            </w:r>
          </w:p>
        </w:tc>
        <w:tc>
          <w:tcPr>
            <w:tcW w:w="181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100%</w:t>
            </w:r>
          </w:p>
        </w:tc>
        <w:tc>
          <w:tcPr>
            <w:tcW w:w="1611"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00" w:type="dxa"/>
            <w:vMerge w:val="continue"/>
            <w:tcBorders>
              <w:tl2br w:val="nil"/>
              <w:tr2bl w:val="nil"/>
            </w:tcBorders>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922"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满意度</w:t>
            </w:r>
          </w:p>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w:t>
            </w:r>
          </w:p>
        </w:tc>
        <w:tc>
          <w:tcPr>
            <w:tcW w:w="116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满意度指标</w:t>
            </w:r>
          </w:p>
        </w:tc>
        <w:tc>
          <w:tcPr>
            <w:tcW w:w="1800"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指标1: 支部党员对党建工作的满意度</w:t>
            </w:r>
          </w:p>
        </w:tc>
        <w:tc>
          <w:tcPr>
            <w:tcW w:w="1405"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100%</w:t>
            </w:r>
          </w:p>
        </w:tc>
        <w:tc>
          <w:tcPr>
            <w:tcW w:w="181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95%</w:t>
            </w:r>
          </w:p>
        </w:tc>
        <w:tc>
          <w:tcPr>
            <w:tcW w:w="1611"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各项工作仍有改进</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00" w:type="dxa"/>
            <w:vMerge w:val="restart"/>
            <w:tcBorders>
              <w:tl2br w:val="nil"/>
              <w:tr2bl w:val="nil"/>
            </w:tcBorders>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目标2：统筹工会、团委、妇联</w:t>
            </w:r>
          </w:p>
        </w:tc>
        <w:tc>
          <w:tcPr>
            <w:tcW w:w="922"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一级</w:t>
            </w:r>
          </w:p>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w:t>
            </w:r>
          </w:p>
        </w:tc>
        <w:tc>
          <w:tcPr>
            <w:tcW w:w="116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二级指标</w:t>
            </w:r>
          </w:p>
        </w:tc>
        <w:tc>
          <w:tcPr>
            <w:tcW w:w="1800"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三级</w:t>
            </w:r>
          </w:p>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w:t>
            </w:r>
          </w:p>
        </w:tc>
        <w:tc>
          <w:tcPr>
            <w:tcW w:w="1405"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预算指标值(包含数字及文字描述)</w:t>
            </w:r>
          </w:p>
        </w:tc>
        <w:tc>
          <w:tcPr>
            <w:tcW w:w="181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预算指标值执行结果(包含数字及文字描述)</w:t>
            </w:r>
          </w:p>
        </w:tc>
        <w:tc>
          <w:tcPr>
            <w:tcW w:w="1611"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预算指标值与预算指标值执行结果偏差情况及原因分析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00" w:type="dxa"/>
            <w:vMerge w:val="continue"/>
            <w:tcBorders>
              <w:tl2br w:val="nil"/>
              <w:tr2bl w:val="nil"/>
            </w:tcBorders>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922" w:type="dxa"/>
            <w:vMerge w:val="restart"/>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完成指标</w:t>
            </w:r>
          </w:p>
        </w:tc>
        <w:tc>
          <w:tcPr>
            <w:tcW w:w="1164" w:type="dxa"/>
            <w:gridSpan w:val="2"/>
            <w:vMerge w:val="restart"/>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数量指标</w:t>
            </w:r>
          </w:p>
        </w:tc>
        <w:tc>
          <w:tcPr>
            <w:tcW w:w="1800"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指标1：开展特色活动，激发群团组织活力</w:t>
            </w:r>
          </w:p>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1405"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4次</w:t>
            </w:r>
          </w:p>
        </w:tc>
        <w:tc>
          <w:tcPr>
            <w:tcW w:w="181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p>
        </w:tc>
        <w:tc>
          <w:tcPr>
            <w:tcW w:w="1611"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00" w:type="dxa"/>
            <w:vMerge w:val="continue"/>
            <w:tcBorders>
              <w:tl2br w:val="nil"/>
              <w:tr2bl w:val="nil"/>
            </w:tcBorders>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922" w:type="dxa"/>
            <w:vMerge w:val="continue"/>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p>
        </w:tc>
        <w:tc>
          <w:tcPr>
            <w:tcW w:w="1164" w:type="dxa"/>
            <w:gridSpan w:val="2"/>
            <w:vMerge w:val="continue"/>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1800"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指标2：组织各社区开展文化活动</w:t>
            </w:r>
          </w:p>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1405"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2次</w:t>
            </w:r>
          </w:p>
        </w:tc>
        <w:tc>
          <w:tcPr>
            <w:tcW w:w="181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p>
        </w:tc>
        <w:tc>
          <w:tcPr>
            <w:tcW w:w="1611"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00" w:type="dxa"/>
            <w:vMerge w:val="continue"/>
            <w:tcBorders>
              <w:tl2br w:val="nil"/>
              <w:tr2bl w:val="nil"/>
            </w:tcBorders>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922" w:type="dxa"/>
            <w:vMerge w:val="continue"/>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p>
        </w:tc>
        <w:tc>
          <w:tcPr>
            <w:tcW w:w="1164" w:type="dxa"/>
            <w:gridSpan w:val="2"/>
            <w:vMerge w:val="restart"/>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质量指标</w:t>
            </w:r>
          </w:p>
        </w:tc>
        <w:tc>
          <w:tcPr>
            <w:tcW w:w="1800"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指标1：完成上级工会组织安排的各项任务及活动</w:t>
            </w:r>
          </w:p>
        </w:tc>
        <w:tc>
          <w:tcPr>
            <w:tcW w:w="1405"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100%</w:t>
            </w:r>
          </w:p>
        </w:tc>
        <w:tc>
          <w:tcPr>
            <w:tcW w:w="181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p>
        </w:tc>
        <w:tc>
          <w:tcPr>
            <w:tcW w:w="1611"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00" w:type="dxa"/>
            <w:vMerge w:val="continue"/>
            <w:tcBorders>
              <w:tl2br w:val="nil"/>
              <w:tr2bl w:val="nil"/>
            </w:tcBorders>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922" w:type="dxa"/>
            <w:vMerge w:val="continue"/>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p>
        </w:tc>
        <w:tc>
          <w:tcPr>
            <w:tcW w:w="1164" w:type="dxa"/>
            <w:gridSpan w:val="2"/>
            <w:vMerge w:val="continue"/>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1800"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指标2：完成上级安排的团工委的各项工作</w:t>
            </w:r>
          </w:p>
        </w:tc>
        <w:tc>
          <w:tcPr>
            <w:tcW w:w="1405"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100%</w:t>
            </w:r>
          </w:p>
        </w:tc>
        <w:tc>
          <w:tcPr>
            <w:tcW w:w="181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p>
        </w:tc>
        <w:tc>
          <w:tcPr>
            <w:tcW w:w="1611"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00" w:type="dxa"/>
            <w:vMerge w:val="continue"/>
            <w:tcBorders>
              <w:tl2br w:val="nil"/>
              <w:tr2bl w:val="nil"/>
            </w:tcBorders>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922" w:type="dxa"/>
            <w:vMerge w:val="continue"/>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p>
        </w:tc>
        <w:tc>
          <w:tcPr>
            <w:tcW w:w="1164" w:type="dxa"/>
            <w:gridSpan w:val="2"/>
            <w:vMerge w:val="continue"/>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1800"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指标3：完成区妇联安排的各项任务及活动</w:t>
            </w:r>
          </w:p>
        </w:tc>
        <w:tc>
          <w:tcPr>
            <w:tcW w:w="1405"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100%</w:t>
            </w:r>
          </w:p>
        </w:tc>
        <w:tc>
          <w:tcPr>
            <w:tcW w:w="181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p>
        </w:tc>
        <w:tc>
          <w:tcPr>
            <w:tcW w:w="1611"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00" w:type="dxa"/>
            <w:vMerge w:val="continue"/>
            <w:tcBorders>
              <w:tl2br w:val="nil"/>
              <w:tr2bl w:val="nil"/>
            </w:tcBorders>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922"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效益指标</w:t>
            </w:r>
          </w:p>
        </w:tc>
        <w:tc>
          <w:tcPr>
            <w:tcW w:w="1164"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社会效益指标</w:t>
            </w:r>
          </w:p>
        </w:tc>
        <w:tc>
          <w:tcPr>
            <w:tcW w:w="1800"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kern w:val="0"/>
                <w:sz w:val="21"/>
                <w:szCs w:val="21"/>
              </w:rPr>
              <w:t>指标1：关爱孤寡老人、失学儿童，形成扶老爱幼的社会氛围</w:t>
            </w:r>
          </w:p>
        </w:tc>
        <w:tc>
          <w:tcPr>
            <w:tcW w:w="1405"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良好</w:t>
            </w:r>
          </w:p>
        </w:tc>
        <w:tc>
          <w:tcPr>
            <w:tcW w:w="181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p>
        </w:tc>
        <w:tc>
          <w:tcPr>
            <w:tcW w:w="1611"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00" w:type="dxa"/>
            <w:vMerge w:val="continue"/>
            <w:tcBorders>
              <w:tl2br w:val="nil"/>
              <w:tr2bl w:val="nil"/>
            </w:tcBorders>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922"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满意度指标</w:t>
            </w:r>
          </w:p>
        </w:tc>
        <w:tc>
          <w:tcPr>
            <w:tcW w:w="116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满意度指标</w:t>
            </w:r>
          </w:p>
        </w:tc>
        <w:tc>
          <w:tcPr>
            <w:tcW w:w="1800"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指标1：服务对象满意度</w:t>
            </w:r>
          </w:p>
        </w:tc>
        <w:tc>
          <w:tcPr>
            <w:tcW w:w="1405"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kern w:val="0"/>
                <w:sz w:val="21"/>
                <w:szCs w:val="21"/>
              </w:rPr>
              <w:t>≥95%</w:t>
            </w:r>
          </w:p>
        </w:tc>
        <w:tc>
          <w:tcPr>
            <w:tcW w:w="181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p>
        </w:tc>
        <w:tc>
          <w:tcPr>
            <w:tcW w:w="1611"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00" w:type="dxa"/>
            <w:vMerge w:val="restart"/>
            <w:tcBorders>
              <w:tl2br w:val="nil"/>
              <w:tr2bl w:val="nil"/>
            </w:tcBorders>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目标3：文明城市创建工作</w:t>
            </w:r>
          </w:p>
        </w:tc>
        <w:tc>
          <w:tcPr>
            <w:tcW w:w="922" w:type="dxa"/>
            <w:tcBorders>
              <w:tl2br w:val="nil"/>
              <w:tr2bl w:val="nil"/>
            </w:tcBorders>
            <w:noWrap/>
            <w:vAlign w:val="center"/>
          </w:tcPr>
          <w:p>
            <w:pPr>
              <w:widowControl/>
              <w:spacing w:line="240" w:lineRule="exac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一级</w:t>
            </w:r>
          </w:p>
          <w:p>
            <w:pPr>
              <w:widowControl/>
              <w:spacing w:line="240" w:lineRule="exac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w:t>
            </w:r>
          </w:p>
        </w:tc>
        <w:tc>
          <w:tcPr>
            <w:tcW w:w="1164" w:type="dxa"/>
            <w:gridSpan w:val="2"/>
            <w:tcBorders>
              <w:tl2br w:val="nil"/>
              <w:tr2bl w:val="nil"/>
            </w:tcBorders>
            <w:noWrap/>
            <w:vAlign w:val="center"/>
          </w:tcPr>
          <w:p>
            <w:pPr>
              <w:widowControl/>
              <w:spacing w:line="240" w:lineRule="exac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二级</w:t>
            </w:r>
          </w:p>
          <w:p>
            <w:pPr>
              <w:widowControl/>
              <w:spacing w:line="240" w:lineRule="exac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w:t>
            </w:r>
          </w:p>
        </w:tc>
        <w:tc>
          <w:tcPr>
            <w:tcW w:w="1800"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三级</w:t>
            </w:r>
          </w:p>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w:t>
            </w:r>
          </w:p>
        </w:tc>
        <w:tc>
          <w:tcPr>
            <w:tcW w:w="1405" w:type="dxa"/>
            <w:tcBorders>
              <w:tl2br w:val="nil"/>
              <w:tr2bl w:val="nil"/>
            </w:tcBorders>
            <w:noWrap/>
            <w:vAlign w:val="center"/>
          </w:tcPr>
          <w:p>
            <w:pPr>
              <w:widowControl/>
              <w:spacing w:line="240" w:lineRule="exac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预算指标值(包含数字及文字描述)</w:t>
            </w:r>
          </w:p>
        </w:tc>
        <w:tc>
          <w:tcPr>
            <w:tcW w:w="1814" w:type="dxa"/>
            <w:gridSpan w:val="2"/>
            <w:tcBorders>
              <w:tl2br w:val="nil"/>
              <w:tr2bl w:val="nil"/>
            </w:tcBorders>
            <w:noWrap/>
            <w:vAlign w:val="center"/>
          </w:tcPr>
          <w:p>
            <w:pPr>
              <w:widowControl/>
              <w:spacing w:line="240" w:lineRule="exac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预算指标值执行结果(包含数字及文字描述)</w:t>
            </w:r>
          </w:p>
        </w:tc>
        <w:tc>
          <w:tcPr>
            <w:tcW w:w="1611" w:type="dxa"/>
            <w:tcBorders>
              <w:tl2br w:val="nil"/>
              <w:tr2bl w:val="nil"/>
            </w:tcBorders>
            <w:noWrap/>
            <w:vAlign w:val="center"/>
          </w:tcPr>
          <w:p>
            <w:pPr>
              <w:widowControl/>
              <w:spacing w:line="240" w:lineRule="exac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预算指标值与预算指标值执行结果偏差情况及原因分析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00" w:type="dxa"/>
            <w:vMerge w:val="continue"/>
            <w:tcBorders>
              <w:tl2br w:val="nil"/>
              <w:tr2bl w:val="nil"/>
            </w:tcBorders>
            <w:vAlign w:val="center"/>
          </w:tcPr>
          <w:p>
            <w:pPr>
              <w:spacing w:line="240" w:lineRule="exact"/>
              <w:jc w:val="left"/>
              <w:rPr>
                <w:rFonts w:hint="eastAsia" w:asciiTheme="minorEastAsia" w:hAnsiTheme="minorEastAsia" w:eastAsiaTheme="minorEastAsia" w:cstheme="minorEastAsia"/>
                <w:color w:val="000000"/>
                <w:kern w:val="0"/>
                <w:sz w:val="21"/>
                <w:szCs w:val="21"/>
              </w:rPr>
            </w:pPr>
          </w:p>
        </w:tc>
        <w:tc>
          <w:tcPr>
            <w:tcW w:w="922" w:type="dxa"/>
            <w:vMerge w:val="restart"/>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完成指标</w:t>
            </w:r>
          </w:p>
        </w:tc>
        <w:tc>
          <w:tcPr>
            <w:tcW w:w="1164" w:type="dxa"/>
            <w:gridSpan w:val="2"/>
            <w:vMerge w:val="restart"/>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数量指标</w:t>
            </w:r>
          </w:p>
        </w:tc>
        <w:tc>
          <w:tcPr>
            <w:tcW w:w="1800"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指标1：开展创建文明卫生城市宣传活动</w:t>
            </w:r>
          </w:p>
        </w:tc>
        <w:tc>
          <w:tcPr>
            <w:tcW w:w="1405"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≥12次</w:t>
            </w:r>
          </w:p>
        </w:tc>
        <w:tc>
          <w:tcPr>
            <w:tcW w:w="181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12次</w:t>
            </w:r>
          </w:p>
        </w:tc>
        <w:tc>
          <w:tcPr>
            <w:tcW w:w="1611"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00" w:type="dxa"/>
            <w:vMerge w:val="continue"/>
            <w:tcBorders>
              <w:tl2br w:val="nil"/>
              <w:tr2bl w:val="nil"/>
            </w:tcBorders>
            <w:vAlign w:val="center"/>
          </w:tcPr>
          <w:p>
            <w:pPr>
              <w:spacing w:line="240" w:lineRule="exact"/>
              <w:jc w:val="left"/>
              <w:rPr>
                <w:rFonts w:hint="eastAsia" w:asciiTheme="minorEastAsia" w:hAnsiTheme="minorEastAsia" w:eastAsiaTheme="minorEastAsia" w:cstheme="minorEastAsia"/>
                <w:color w:val="000000"/>
                <w:kern w:val="0"/>
                <w:sz w:val="21"/>
                <w:szCs w:val="21"/>
              </w:rPr>
            </w:pPr>
          </w:p>
        </w:tc>
        <w:tc>
          <w:tcPr>
            <w:tcW w:w="922" w:type="dxa"/>
            <w:vMerge w:val="continue"/>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p>
        </w:tc>
        <w:tc>
          <w:tcPr>
            <w:tcW w:w="1164" w:type="dxa"/>
            <w:gridSpan w:val="2"/>
            <w:vMerge w:val="continue"/>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p>
        </w:tc>
        <w:tc>
          <w:tcPr>
            <w:tcW w:w="1800"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指标2：组织创建文明卫生城市主题活动</w:t>
            </w:r>
          </w:p>
        </w:tc>
        <w:tc>
          <w:tcPr>
            <w:tcW w:w="1405"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=4次</w:t>
            </w:r>
          </w:p>
        </w:tc>
        <w:tc>
          <w:tcPr>
            <w:tcW w:w="181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4次</w:t>
            </w:r>
          </w:p>
        </w:tc>
        <w:tc>
          <w:tcPr>
            <w:tcW w:w="1611"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00" w:type="dxa"/>
            <w:vMerge w:val="continue"/>
            <w:tcBorders>
              <w:tl2br w:val="nil"/>
              <w:tr2bl w:val="nil"/>
            </w:tcBorders>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922" w:type="dxa"/>
            <w:vMerge w:val="continue"/>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p>
        </w:tc>
        <w:tc>
          <w:tcPr>
            <w:tcW w:w="116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质量指标</w:t>
            </w:r>
          </w:p>
        </w:tc>
        <w:tc>
          <w:tcPr>
            <w:tcW w:w="1800"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指标1：开展评比各村（社区）创建文明卫生城市工作成果，并进行宣传</w:t>
            </w:r>
          </w:p>
        </w:tc>
        <w:tc>
          <w:tcPr>
            <w:tcW w:w="1405"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=4次</w:t>
            </w:r>
          </w:p>
        </w:tc>
        <w:tc>
          <w:tcPr>
            <w:tcW w:w="181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4次</w:t>
            </w:r>
          </w:p>
        </w:tc>
        <w:tc>
          <w:tcPr>
            <w:tcW w:w="1611"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00" w:type="dxa"/>
            <w:vMerge w:val="continue"/>
            <w:tcBorders>
              <w:tl2br w:val="nil"/>
              <w:tr2bl w:val="nil"/>
            </w:tcBorders>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922" w:type="dxa"/>
            <w:vMerge w:val="continue"/>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p>
        </w:tc>
        <w:tc>
          <w:tcPr>
            <w:tcW w:w="116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时效指标</w:t>
            </w:r>
          </w:p>
        </w:tc>
        <w:tc>
          <w:tcPr>
            <w:tcW w:w="1800"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指标1：定时到村（社区）检查环境卫生情况，询问居民意见，并做好反馈记录，及时改进。</w:t>
            </w:r>
          </w:p>
        </w:tc>
        <w:tc>
          <w:tcPr>
            <w:tcW w:w="1405"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≥4次</w:t>
            </w:r>
          </w:p>
        </w:tc>
        <w:tc>
          <w:tcPr>
            <w:tcW w:w="181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4次</w:t>
            </w:r>
          </w:p>
        </w:tc>
        <w:tc>
          <w:tcPr>
            <w:tcW w:w="1611"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00" w:type="dxa"/>
            <w:vMerge w:val="continue"/>
            <w:tcBorders>
              <w:tl2br w:val="nil"/>
              <w:tr2bl w:val="nil"/>
            </w:tcBorders>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922" w:type="dxa"/>
            <w:vMerge w:val="restart"/>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效益指标</w:t>
            </w:r>
          </w:p>
        </w:tc>
        <w:tc>
          <w:tcPr>
            <w:tcW w:w="116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社会效益指标</w:t>
            </w:r>
          </w:p>
        </w:tc>
        <w:tc>
          <w:tcPr>
            <w:tcW w:w="1800"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指标1：居民爱护环境意识提高</w:t>
            </w:r>
          </w:p>
        </w:tc>
        <w:tc>
          <w:tcPr>
            <w:tcW w:w="1405"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95%</w:t>
            </w:r>
          </w:p>
        </w:tc>
        <w:tc>
          <w:tcPr>
            <w:tcW w:w="181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96%</w:t>
            </w:r>
          </w:p>
        </w:tc>
        <w:tc>
          <w:tcPr>
            <w:tcW w:w="1611"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随机抽样本询问辖区群众及机关职工</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00" w:type="dxa"/>
            <w:vMerge w:val="continue"/>
            <w:tcBorders>
              <w:tl2br w:val="nil"/>
              <w:tr2bl w:val="nil"/>
            </w:tcBorders>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922" w:type="dxa"/>
            <w:vMerge w:val="continue"/>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p>
        </w:tc>
        <w:tc>
          <w:tcPr>
            <w:tcW w:w="116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可持续影响指标</w:t>
            </w:r>
          </w:p>
        </w:tc>
        <w:tc>
          <w:tcPr>
            <w:tcW w:w="1800"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指标1：维护城市良好文明卫生形象，形成良好的城市文明卫生循环生态。</w:t>
            </w:r>
          </w:p>
        </w:tc>
        <w:tc>
          <w:tcPr>
            <w:tcW w:w="1405"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良好</w:t>
            </w:r>
          </w:p>
        </w:tc>
        <w:tc>
          <w:tcPr>
            <w:tcW w:w="181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良好</w:t>
            </w:r>
          </w:p>
        </w:tc>
        <w:tc>
          <w:tcPr>
            <w:tcW w:w="1611"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00" w:type="dxa"/>
            <w:vMerge w:val="continue"/>
            <w:tcBorders>
              <w:tl2br w:val="nil"/>
              <w:tr2bl w:val="nil"/>
            </w:tcBorders>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922"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满意度指标</w:t>
            </w:r>
          </w:p>
        </w:tc>
        <w:tc>
          <w:tcPr>
            <w:tcW w:w="116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满意度指标</w:t>
            </w:r>
          </w:p>
        </w:tc>
        <w:tc>
          <w:tcPr>
            <w:tcW w:w="1800"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指标1：社会公众对开展创建文明卫生城市工作的满意程度</w:t>
            </w:r>
          </w:p>
        </w:tc>
        <w:tc>
          <w:tcPr>
            <w:tcW w:w="1405"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98%</w:t>
            </w:r>
          </w:p>
        </w:tc>
        <w:tc>
          <w:tcPr>
            <w:tcW w:w="181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98%</w:t>
            </w:r>
          </w:p>
        </w:tc>
        <w:tc>
          <w:tcPr>
            <w:tcW w:w="1611"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随机抽样本询问辖区群众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00" w:type="dxa"/>
            <w:vMerge w:val="restart"/>
            <w:tcBorders>
              <w:tl2br w:val="nil"/>
              <w:tr2bl w:val="nil"/>
            </w:tcBorders>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目标4：切实做好社会保障工作，完善社会保障体系</w:t>
            </w:r>
          </w:p>
        </w:tc>
        <w:tc>
          <w:tcPr>
            <w:tcW w:w="922" w:type="dxa"/>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一级</w:t>
            </w:r>
          </w:p>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w:t>
            </w:r>
          </w:p>
        </w:tc>
        <w:tc>
          <w:tcPr>
            <w:tcW w:w="116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二级指标</w:t>
            </w:r>
          </w:p>
        </w:tc>
        <w:tc>
          <w:tcPr>
            <w:tcW w:w="1800"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三级</w:t>
            </w:r>
          </w:p>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w:t>
            </w:r>
          </w:p>
        </w:tc>
        <w:tc>
          <w:tcPr>
            <w:tcW w:w="1405" w:type="dxa"/>
            <w:tcBorders>
              <w:tl2br w:val="nil"/>
              <w:tr2bl w:val="nil"/>
            </w:tcBorders>
            <w:noWrap/>
            <w:vAlign w:val="center"/>
          </w:tcPr>
          <w:p>
            <w:pPr>
              <w:widowControl/>
              <w:spacing w:line="240" w:lineRule="exac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预算指标值(包含数字及文字描述)</w:t>
            </w:r>
          </w:p>
        </w:tc>
        <w:tc>
          <w:tcPr>
            <w:tcW w:w="1814" w:type="dxa"/>
            <w:gridSpan w:val="2"/>
            <w:tcBorders>
              <w:tl2br w:val="nil"/>
              <w:tr2bl w:val="nil"/>
            </w:tcBorders>
            <w:noWrap/>
            <w:vAlign w:val="center"/>
          </w:tcPr>
          <w:p>
            <w:pPr>
              <w:widowControl/>
              <w:spacing w:line="240" w:lineRule="exac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预算指标值执行结果(包含数字及文字描述)</w:t>
            </w:r>
          </w:p>
        </w:tc>
        <w:tc>
          <w:tcPr>
            <w:tcW w:w="1611" w:type="dxa"/>
            <w:tcBorders>
              <w:tl2br w:val="nil"/>
              <w:tr2bl w:val="nil"/>
            </w:tcBorders>
            <w:noWrap/>
            <w:vAlign w:val="center"/>
          </w:tcPr>
          <w:p>
            <w:pPr>
              <w:widowControl/>
              <w:spacing w:line="240" w:lineRule="exac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预算指标值与预算指标值执行结果偏差情况及原因分析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00" w:type="dxa"/>
            <w:vMerge w:val="continue"/>
            <w:tcBorders>
              <w:tl2br w:val="nil"/>
              <w:tr2bl w:val="nil"/>
            </w:tcBorders>
            <w:vAlign w:val="center"/>
          </w:tcPr>
          <w:p>
            <w:pPr>
              <w:spacing w:line="240" w:lineRule="exact"/>
              <w:jc w:val="left"/>
              <w:rPr>
                <w:rFonts w:hint="eastAsia" w:asciiTheme="minorEastAsia" w:hAnsiTheme="minorEastAsia" w:eastAsiaTheme="minorEastAsia" w:cstheme="minorEastAsia"/>
                <w:color w:val="000000"/>
                <w:kern w:val="0"/>
                <w:sz w:val="21"/>
                <w:szCs w:val="21"/>
              </w:rPr>
            </w:pPr>
          </w:p>
        </w:tc>
        <w:tc>
          <w:tcPr>
            <w:tcW w:w="922" w:type="dxa"/>
            <w:vMerge w:val="restart"/>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完成指标</w:t>
            </w:r>
          </w:p>
        </w:tc>
        <w:tc>
          <w:tcPr>
            <w:tcW w:w="1164" w:type="dxa"/>
            <w:gridSpan w:val="2"/>
            <w:vMerge w:val="restart"/>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数量指标</w:t>
            </w:r>
          </w:p>
        </w:tc>
        <w:tc>
          <w:tcPr>
            <w:tcW w:w="1800"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指标1：开展低保动态信息下户核实</w:t>
            </w:r>
          </w:p>
        </w:tc>
        <w:tc>
          <w:tcPr>
            <w:tcW w:w="1405"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≥4次</w:t>
            </w:r>
          </w:p>
        </w:tc>
        <w:tc>
          <w:tcPr>
            <w:tcW w:w="181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4次</w:t>
            </w:r>
          </w:p>
        </w:tc>
        <w:tc>
          <w:tcPr>
            <w:tcW w:w="1611"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保证1季度做1次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00" w:type="dxa"/>
            <w:vMerge w:val="continue"/>
            <w:tcBorders>
              <w:tl2br w:val="nil"/>
              <w:tr2bl w:val="nil"/>
            </w:tcBorders>
            <w:vAlign w:val="center"/>
          </w:tcPr>
          <w:p>
            <w:pPr>
              <w:spacing w:line="240" w:lineRule="exact"/>
              <w:jc w:val="left"/>
              <w:rPr>
                <w:rFonts w:hint="eastAsia" w:asciiTheme="minorEastAsia" w:hAnsiTheme="minorEastAsia" w:eastAsiaTheme="minorEastAsia" w:cstheme="minorEastAsia"/>
                <w:color w:val="000000"/>
                <w:kern w:val="0"/>
                <w:sz w:val="21"/>
                <w:szCs w:val="21"/>
              </w:rPr>
            </w:pPr>
          </w:p>
        </w:tc>
        <w:tc>
          <w:tcPr>
            <w:tcW w:w="922" w:type="dxa"/>
            <w:vMerge w:val="continue"/>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1164" w:type="dxa"/>
            <w:gridSpan w:val="2"/>
            <w:vMerge w:val="continue"/>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p>
        </w:tc>
        <w:tc>
          <w:tcPr>
            <w:tcW w:w="1800"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 xml:space="preserve">指标2：开展新农合、社保、医保宣传工作 </w:t>
            </w:r>
          </w:p>
        </w:tc>
        <w:tc>
          <w:tcPr>
            <w:tcW w:w="1405"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≥4次</w:t>
            </w:r>
          </w:p>
        </w:tc>
        <w:tc>
          <w:tcPr>
            <w:tcW w:w="181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4次</w:t>
            </w:r>
          </w:p>
        </w:tc>
        <w:tc>
          <w:tcPr>
            <w:tcW w:w="1611"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保证1季度做1次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00" w:type="dxa"/>
            <w:vMerge w:val="continue"/>
            <w:tcBorders>
              <w:tl2br w:val="nil"/>
              <w:tr2bl w:val="nil"/>
            </w:tcBorders>
            <w:vAlign w:val="center"/>
          </w:tcPr>
          <w:p>
            <w:pPr>
              <w:spacing w:line="240" w:lineRule="exact"/>
              <w:jc w:val="left"/>
              <w:rPr>
                <w:rFonts w:hint="eastAsia" w:asciiTheme="minorEastAsia" w:hAnsiTheme="minorEastAsia" w:eastAsiaTheme="minorEastAsia" w:cstheme="minorEastAsia"/>
                <w:color w:val="000000"/>
                <w:kern w:val="0"/>
                <w:sz w:val="21"/>
                <w:szCs w:val="21"/>
              </w:rPr>
            </w:pPr>
          </w:p>
        </w:tc>
        <w:tc>
          <w:tcPr>
            <w:tcW w:w="922" w:type="dxa"/>
            <w:vMerge w:val="continue"/>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1164" w:type="dxa"/>
            <w:gridSpan w:val="2"/>
            <w:vMerge w:val="continue"/>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p>
        </w:tc>
        <w:tc>
          <w:tcPr>
            <w:tcW w:w="1800"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指标3：开展计生慰问活动</w:t>
            </w:r>
          </w:p>
        </w:tc>
        <w:tc>
          <w:tcPr>
            <w:tcW w:w="1405"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lang w:val="en-US" w:eastAsia="zh-CN"/>
              </w:rPr>
              <w:t>4</w:t>
            </w:r>
            <w:r>
              <w:rPr>
                <w:rFonts w:hint="eastAsia" w:asciiTheme="minorEastAsia" w:hAnsiTheme="minorEastAsia" w:eastAsiaTheme="minorEastAsia" w:cstheme="minorEastAsia"/>
                <w:color w:val="000000"/>
                <w:kern w:val="0"/>
                <w:sz w:val="21"/>
                <w:szCs w:val="21"/>
              </w:rPr>
              <w:t>次</w:t>
            </w:r>
          </w:p>
        </w:tc>
        <w:tc>
          <w:tcPr>
            <w:tcW w:w="181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lang w:val="en-US" w:eastAsia="zh-CN"/>
              </w:rPr>
              <w:t>4</w:t>
            </w:r>
            <w:r>
              <w:rPr>
                <w:rFonts w:hint="eastAsia" w:asciiTheme="minorEastAsia" w:hAnsiTheme="minorEastAsia" w:eastAsiaTheme="minorEastAsia" w:cstheme="minorEastAsia"/>
                <w:color w:val="000000"/>
                <w:kern w:val="0"/>
                <w:sz w:val="21"/>
                <w:szCs w:val="21"/>
              </w:rPr>
              <w:t>次</w:t>
            </w:r>
          </w:p>
        </w:tc>
        <w:tc>
          <w:tcPr>
            <w:tcW w:w="1611"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00" w:type="dxa"/>
            <w:vMerge w:val="continue"/>
            <w:tcBorders>
              <w:tl2br w:val="nil"/>
              <w:tr2bl w:val="nil"/>
            </w:tcBorders>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922" w:type="dxa"/>
            <w:vMerge w:val="continue"/>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1164" w:type="dxa"/>
            <w:gridSpan w:val="2"/>
            <w:vMerge w:val="restart"/>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质量指标</w:t>
            </w:r>
          </w:p>
        </w:tc>
        <w:tc>
          <w:tcPr>
            <w:tcW w:w="1800"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指标1：救济受理率</w:t>
            </w:r>
          </w:p>
        </w:tc>
        <w:tc>
          <w:tcPr>
            <w:tcW w:w="1405"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100%</w:t>
            </w:r>
          </w:p>
        </w:tc>
        <w:tc>
          <w:tcPr>
            <w:tcW w:w="181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100%</w:t>
            </w:r>
          </w:p>
        </w:tc>
        <w:tc>
          <w:tcPr>
            <w:tcW w:w="1611"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00" w:type="dxa"/>
            <w:vMerge w:val="continue"/>
            <w:tcBorders>
              <w:tl2br w:val="nil"/>
              <w:tr2bl w:val="nil"/>
            </w:tcBorders>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922" w:type="dxa"/>
            <w:vMerge w:val="continue"/>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1164" w:type="dxa"/>
            <w:gridSpan w:val="2"/>
            <w:vMerge w:val="continue"/>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p>
        </w:tc>
        <w:tc>
          <w:tcPr>
            <w:tcW w:w="1800"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指标2：救济程序合规率</w:t>
            </w:r>
          </w:p>
        </w:tc>
        <w:tc>
          <w:tcPr>
            <w:tcW w:w="1405"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100%</w:t>
            </w:r>
          </w:p>
        </w:tc>
        <w:tc>
          <w:tcPr>
            <w:tcW w:w="181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100%</w:t>
            </w:r>
          </w:p>
        </w:tc>
        <w:tc>
          <w:tcPr>
            <w:tcW w:w="1611"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00" w:type="dxa"/>
            <w:vMerge w:val="continue"/>
            <w:tcBorders>
              <w:tl2br w:val="nil"/>
              <w:tr2bl w:val="nil"/>
            </w:tcBorders>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922" w:type="dxa"/>
            <w:vMerge w:val="continue"/>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1164" w:type="dxa"/>
            <w:gridSpan w:val="2"/>
            <w:vMerge w:val="continue"/>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p>
        </w:tc>
        <w:tc>
          <w:tcPr>
            <w:tcW w:w="1800"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指标3：慰问资金专款专用、发放到位</w:t>
            </w:r>
          </w:p>
        </w:tc>
        <w:tc>
          <w:tcPr>
            <w:tcW w:w="1405"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100%</w:t>
            </w:r>
          </w:p>
        </w:tc>
        <w:tc>
          <w:tcPr>
            <w:tcW w:w="181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100%</w:t>
            </w:r>
          </w:p>
        </w:tc>
        <w:tc>
          <w:tcPr>
            <w:tcW w:w="1611"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00" w:type="dxa"/>
            <w:vMerge w:val="continue"/>
            <w:tcBorders>
              <w:tl2br w:val="nil"/>
              <w:tr2bl w:val="nil"/>
            </w:tcBorders>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922" w:type="dxa"/>
            <w:vMerge w:val="continue"/>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1164" w:type="dxa"/>
            <w:gridSpan w:val="2"/>
            <w:vMerge w:val="restart"/>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时效指标</w:t>
            </w:r>
          </w:p>
        </w:tc>
        <w:tc>
          <w:tcPr>
            <w:tcW w:w="1800"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指标1：救济对象及时得到救助</w:t>
            </w:r>
          </w:p>
        </w:tc>
        <w:tc>
          <w:tcPr>
            <w:tcW w:w="1405"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100%</w:t>
            </w:r>
          </w:p>
        </w:tc>
        <w:tc>
          <w:tcPr>
            <w:tcW w:w="181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100%</w:t>
            </w:r>
          </w:p>
        </w:tc>
        <w:tc>
          <w:tcPr>
            <w:tcW w:w="1611"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00" w:type="dxa"/>
            <w:vMerge w:val="continue"/>
            <w:tcBorders>
              <w:tl2br w:val="nil"/>
              <w:tr2bl w:val="nil"/>
            </w:tcBorders>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922" w:type="dxa"/>
            <w:vMerge w:val="continue"/>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1164" w:type="dxa"/>
            <w:gridSpan w:val="2"/>
            <w:vMerge w:val="continue"/>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p>
        </w:tc>
        <w:tc>
          <w:tcPr>
            <w:tcW w:w="1800"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指标2：救济程序按时合规完成</w:t>
            </w:r>
          </w:p>
        </w:tc>
        <w:tc>
          <w:tcPr>
            <w:tcW w:w="1405"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100%</w:t>
            </w:r>
          </w:p>
        </w:tc>
        <w:tc>
          <w:tcPr>
            <w:tcW w:w="181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100%</w:t>
            </w:r>
          </w:p>
        </w:tc>
        <w:tc>
          <w:tcPr>
            <w:tcW w:w="1611"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00" w:type="dxa"/>
            <w:vMerge w:val="continue"/>
            <w:tcBorders>
              <w:tl2br w:val="nil"/>
              <w:tr2bl w:val="nil"/>
            </w:tcBorders>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922" w:type="dxa"/>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116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成本指标</w:t>
            </w:r>
          </w:p>
        </w:tc>
        <w:tc>
          <w:tcPr>
            <w:tcW w:w="1800"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指标1：计生慰问经费</w:t>
            </w:r>
          </w:p>
        </w:tc>
        <w:tc>
          <w:tcPr>
            <w:tcW w:w="1405"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7万元</w:t>
            </w:r>
          </w:p>
        </w:tc>
        <w:tc>
          <w:tcPr>
            <w:tcW w:w="181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7万元</w:t>
            </w:r>
          </w:p>
        </w:tc>
        <w:tc>
          <w:tcPr>
            <w:tcW w:w="1611"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00" w:type="dxa"/>
            <w:vMerge w:val="continue"/>
            <w:tcBorders>
              <w:tl2br w:val="nil"/>
              <w:tr2bl w:val="nil"/>
            </w:tcBorders>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922" w:type="dxa"/>
            <w:vMerge w:val="restart"/>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效益指标</w:t>
            </w:r>
          </w:p>
        </w:tc>
        <w:tc>
          <w:tcPr>
            <w:tcW w:w="116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社会效益指标</w:t>
            </w:r>
          </w:p>
        </w:tc>
        <w:tc>
          <w:tcPr>
            <w:tcW w:w="1800"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指标1：生活困难的居民能够得到基本生活保障，形成有爱和谐的社会氛围</w:t>
            </w:r>
          </w:p>
        </w:tc>
        <w:tc>
          <w:tcPr>
            <w:tcW w:w="1405"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良好</w:t>
            </w:r>
          </w:p>
        </w:tc>
        <w:tc>
          <w:tcPr>
            <w:tcW w:w="181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良好</w:t>
            </w:r>
          </w:p>
        </w:tc>
        <w:tc>
          <w:tcPr>
            <w:tcW w:w="1611"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00" w:type="dxa"/>
            <w:vMerge w:val="continue"/>
            <w:tcBorders>
              <w:tl2br w:val="nil"/>
              <w:tr2bl w:val="nil"/>
            </w:tcBorders>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922" w:type="dxa"/>
            <w:vMerge w:val="continue"/>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116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可持续影响指标</w:t>
            </w:r>
          </w:p>
        </w:tc>
        <w:tc>
          <w:tcPr>
            <w:tcW w:w="1800"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指标1：维持困难群众的基本生活保障，</w:t>
            </w:r>
          </w:p>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1405"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95%</w:t>
            </w:r>
          </w:p>
        </w:tc>
        <w:tc>
          <w:tcPr>
            <w:tcW w:w="181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95%</w:t>
            </w:r>
          </w:p>
        </w:tc>
        <w:tc>
          <w:tcPr>
            <w:tcW w:w="1611" w:type="dxa"/>
            <w:tcBorders>
              <w:tl2br w:val="nil"/>
              <w:tr2bl w:val="nil"/>
            </w:tcBorders>
            <w:noWrap/>
            <w:vAlign w:val="center"/>
          </w:tcPr>
          <w:p>
            <w:pPr>
              <w:widowControl/>
              <w:spacing w:line="240" w:lineRule="exact"/>
              <w:rPr>
                <w:rFonts w:hint="eastAsia" w:asciiTheme="minorEastAsia" w:hAnsiTheme="minorEastAsia" w:eastAsiaTheme="minorEastAsia" w:cstheme="minorEastAsia"/>
                <w:color w:val="000000"/>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00" w:type="dxa"/>
            <w:vMerge w:val="continue"/>
            <w:tcBorders>
              <w:tl2br w:val="nil"/>
              <w:tr2bl w:val="nil"/>
            </w:tcBorders>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922" w:type="dxa"/>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满意度指标</w:t>
            </w:r>
          </w:p>
        </w:tc>
        <w:tc>
          <w:tcPr>
            <w:tcW w:w="116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满意度指标</w:t>
            </w:r>
          </w:p>
        </w:tc>
        <w:tc>
          <w:tcPr>
            <w:tcW w:w="1800"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指标1：救济工作受益群众满意度</w:t>
            </w:r>
          </w:p>
        </w:tc>
        <w:tc>
          <w:tcPr>
            <w:tcW w:w="1405"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95%</w:t>
            </w:r>
          </w:p>
        </w:tc>
        <w:tc>
          <w:tcPr>
            <w:tcW w:w="181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95%</w:t>
            </w:r>
          </w:p>
        </w:tc>
        <w:tc>
          <w:tcPr>
            <w:tcW w:w="1611"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00" w:type="dxa"/>
            <w:vMerge w:val="restart"/>
            <w:tcBorders>
              <w:tl2br w:val="nil"/>
              <w:tr2bl w:val="nil"/>
            </w:tcBorders>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目标5：维护网格化管理分中心正常运行，做好基层综合治理、上访维稳、禁毒等工作</w:t>
            </w:r>
          </w:p>
        </w:tc>
        <w:tc>
          <w:tcPr>
            <w:tcW w:w="922" w:type="dxa"/>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一级</w:t>
            </w:r>
          </w:p>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w:t>
            </w:r>
          </w:p>
        </w:tc>
        <w:tc>
          <w:tcPr>
            <w:tcW w:w="1164"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二级指标</w:t>
            </w:r>
          </w:p>
        </w:tc>
        <w:tc>
          <w:tcPr>
            <w:tcW w:w="1800"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三级</w:t>
            </w:r>
          </w:p>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w:t>
            </w:r>
          </w:p>
        </w:tc>
        <w:tc>
          <w:tcPr>
            <w:tcW w:w="1405" w:type="dxa"/>
            <w:tcBorders>
              <w:tl2br w:val="nil"/>
              <w:tr2bl w:val="nil"/>
            </w:tcBorders>
            <w:noWrap/>
            <w:vAlign w:val="center"/>
          </w:tcPr>
          <w:p>
            <w:pPr>
              <w:widowControl/>
              <w:spacing w:line="240" w:lineRule="exac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预算指标值(包含数字及文字描述)</w:t>
            </w:r>
          </w:p>
        </w:tc>
        <w:tc>
          <w:tcPr>
            <w:tcW w:w="1814" w:type="dxa"/>
            <w:gridSpan w:val="2"/>
            <w:tcBorders>
              <w:tl2br w:val="nil"/>
              <w:tr2bl w:val="nil"/>
            </w:tcBorders>
            <w:noWrap/>
            <w:vAlign w:val="center"/>
          </w:tcPr>
          <w:p>
            <w:pPr>
              <w:widowControl/>
              <w:spacing w:line="240" w:lineRule="exac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预算指标值执行结果(包含数字及文字描述)</w:t>
            </w:r>
          </w:p>
        </w:tc>
        <w:tc>
          <w:tcPr>
            <w:tcW w:w="1611" w:type="dxa"/>
            <w:tcBorders>
              <w:tl2br w:val="nil"/>
              <w:tr2bl w:val="nil"/>
            </w:tcBorders>
            <w:noWrap/>
            <w:vAlign w:val="center"/>
          </w:tcPr>
          <w:p>
            <w:pPr>
              <w:widowControl/>
              <w:spacing w:line="240" w:lineRule="exac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预算指标值与预算指标值执行结果偏差情况及原因分析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00" w:type="dxa"/>
            <w:vMerge w:val="continue"/>
            <w:tcBorders>
              <w:tl2br w:val="nil"/>
              <w:tr2bl w:val="nil"/>
            </w:tcBorders>
            <w:vAlign w:val="center"/>
          </w:tcPr>
          <w:p>
            <w:pPr>
              <w:spacing w:line="240" w:lineRule="exact"/>
              <w:jc w:val="left"/>
              <w:rPr>
                <w:rFonts w:hint="eastAsia" w:asciiTheme="minorEastAsia" w:hAnsiTheme="minorEastAsia" w:eastAsiaTheme="minorEastAsia" w:cstheme="minorEastAsia"/>
                <w:color w:val="000000"/>
                <w:kern w:val="0"/>
                <w:sz w:val="21"/>
                <w:szCs w:val="21"/>
              </w:rPr>
            </w:pPr>
          </w:p>
        </w:tc>
        <w:tc>
          <w:tcPr>
            <w:tcW w:w="922" w:type="dxa"/>
            <w:vMerge w:val="restart"/>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完成指标</w:t>
            </w:r>
          </w:p>
        </w:tc>
        <w:tc>
          <w:tcPr>
            <w:tcW w:w="1164" w:type="dxa"/>
            <w:gridSpan w:val="2"/>
            <w:vMerge w:val="restart"/>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数量指标</w:t>
            </w:r>
          </w:p>
        </w:tc>
        <w:tc>
          <w:tcPr>
            <w:tcW w:w="1800"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指标1：开展禁毒专项工作（包括会议、宣传）</w:t>
            </w:r>
          </w:p>
        </w:tc>
        <w:tc>
          <w:tcPr>
            <w:tcW w:w="1405"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≥4次</w:t>
            </w:r>
          </w:p>
        </w:tc>
        <w:tc>
          <w:tcPr>
            <w:tcW w:w="1814" w:type="dxa"/>
            <w:gridSpan w:val="2"/>
            <w:tcBorders>
              <w:tl2br w:val="nil"/>
              <w:tr2bl w:val="nil"/>
            </w:tcBorders>
            <w:noWrap/>
            <w:vAlign w:val="center"/>
          </w:tcPr>
          <w:p>
            <w:pPr>
              <w:widowControl/>
              <w:spacing w:line="240" w:lineRule="exac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4次</w:t>
            </w:r>
          </w:p>
        </w:tc>
        <w:tc>
          <w:tcPr>
            <w:tcW w:w="1611" w:type="dxa"/>
            <w:tcBorders>
              <w:tl2br w:val="nil"/>
              <w:tr2bl w:val="nil"/>
            </w:tcBorders>
            <w:noWrap/>
            <w:vAlign w:val="center"/>
          </w:tcPr>
          <w:p>
            <w:pPr>
              <w:widowControl/>
              <w:spacing w:line="240" w:lineRule="exact"/>
              <w:rPr>
                <w:rFonts w:hint="eastAsia" w:asciiTheme="minorEastAsia" w:hAnsiTheme="minorEastAsia" w:eastAsiaTheme="minorEastAsia" w:cstheme="minorEastAsia"/>
                <w:color w:val="000000"/>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00" w:type="dxa"/>
            <w:vMerge w:val="continue"/>
            <w:tcBorders>
              <w:tl2br w:val="nil"/>
              <w:tr2bl w:val="nil"/>
            </w:tcBorders>
            <w:vAlign w:val="center"/>
          </w:tcPr>
          <w:p>
            <w:pPr>
              <w:spacing w:line="240" w:lineRule="exact"/>
              <w:jc w:val="left"/>
              <w:rPr>
                <w:rFonts w:hint="eastAsia" w:asciiTheme="minorEastAsia" w:hAnsiTheme="minorEastAsia" w:eastAsiaTheme="minorEastAsia" w:cstheme="minorEastAsia"/>
                <w:color w:val="000000"/>
                <w:kern w:val="0"/>
                <w:sz w:val="21"/>
                <w:szCs w:val="21"/>
              </w:rPr>
            </w:pPr>
          </w:p>
        </w:tc>
        <w:tc>
          <w:tcPr>
            <w:tcW w:w="922" w:type="dxa"/>
            <w:vMerge w:val="continue"/>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1164" w:type="dxa"/>
            <w:gridSpan w:val="2"/>
            <w:vMerge w:val="continue"/>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1800"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指标2：开展扫黑除恶专项工作（包括会议、宣传）</w:t>
            </w:r>
          </w:p>
        </w:tc>
        <w:tc>
          <w:tcPr>
            <w:tcW w:w="1405"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≥4次</w:t>
            </w:r>
          </w:p>
        </w:tc>
        <w:tc>
          <w:tcPr>
            <w:tcW w:w="1814" w:type="dxa"/>
            <w:gridSpan w:val="2"/>
            <w:tcBorders>
              <w:tl2br w:val="nil"/>
              <w:tr2bl w:val="nil"/>
            </w:tcBorders>
            <w:noWrap/>
            <w:vAlign w:val="center"/>
          </w:tcPr>
          <w:p>
            <w:pPr>
              <w:widowControl/>
              <w:spacing w:line="240" w:lineRule="exac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4次</w:t>
            </w:r>
          </w:p>
        </w:tc>
        <w:tc>
          <w:tcPr>
            <w:tcW w:w="1611" w:type="dxa"/>
            <w:tcBorders>
              <w:tl2br w:val="nil"/>
              <w:tr2bl w:val="nil"/>
            </w:tcBorders>
            <w:noWrap/>
            <w:vAlign w:val="center"/>
          </w:tcPr>
          <w:p>
            <w:pPr>
              <w:widowControl/>
              <w:spacing w:line="240" w:lineRule="exact"/>
              <w:rPr>
                <w:rFonts w:hint="eastAsia" w:asciiTheme="minorEastAsia" w:hAnsiTheme="minorEastAsia" w:eastAsiaTheme="minorEastAsia" w:cstheme="minorEastAsia"/>
                <w:color w:val="000000"/>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00" w:type="dxa"/>
            <w:vMerge w:val="continue"/>
            <w:tcBorders>
              <w:tl2br w:val="nil"/>
              <w:tr2bl w:val="nil"/>
            </w:tcBorders>
            <w:vAlign w:val="center"/>
          </w:tcPr>
          <w:p>
            <w:pPr>
              <w:spacing w:line="240" w:lineRule="exact"/>
              <w:jc w:val="left"/>
              <w:rPr>
                <w:rFonts w:hint="eastAsia" w:asciiTheme="minorEastAsia" w:hAnsiTheme="minorEastAsia" w:eastAsiaTheme="minorEastAsia" w:cstheme="minorEastAsia"/>
                <w:color w:val="000000"/>
                <w:kern w:val="0"/>
                <w:sz w:val="21"/>
                <w:szCs w:val="21"/>
              </w:rPr>
            </w:pPr>
          </w:p>
        </w:tc>
        <w:tc>
          <w:tcPr>
            <w:tcW w:w="922" w:type="dxa"/>
            <w:vMerge w:val="continue"/>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1164" w:type="dxa"/>
            <w:gridSpan w:val="2"/>
            <w:vMerge w:val="continue"/>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1800"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指标3：开展法制集中宣传活动</w:t>
            </w:r>
          </w:p>
        </w:tc>
        <w:tc>
          <w:tcPr>
            <w:tcW w:w="1405"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≥12次</w:t>
            </w:r>
          </w:p>
        </w:tc>
        <w:tc>
          <w:tcPr>
            <w:tcW w:w="1814" w:type="dxa"/>
            <w:gridSpan w:val="2"/>
            <w:tcBorders>
              <w:tl2br w:val="nil"/>
              <w:tr2bl w:val="nil"/>
            </w:tcBorders>
            <w:noWrap/>
            <w:vAlign w:val="center"/>
          </w:tcPr>
          <w:p>
            <w:pPr>
              <w:widowControl/>
              <w:spacing w:line="240" w:lineRule="exac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12次</w:t>
            </w:r>
          </w:p>
        </w:tc>
        <w:tc>
          <w:tcPr>
            <w:tcW w:w="1611" w:type="dxa"/>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街道及村（社区）根据实际工作需要增加宣传次数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00" w:type="dxa"/>
            <w:vMerge w:val="continue"/>
            <w:tcBorders>
              <w:tl2br w:val="nil"/>
              <w:tr2bl w:val="nil"/>
            </w:tcBorders>
            <w:vAlign w:val="center"/>
          </w:tcPr>
          <w:p>
            <w:pPr>
              <w:spacing w:line="240" w:lineRule="exact"/>
              <w:jc w:val="left"/>
              <w:rPr>
                <w:rFonts w:hint="eastAsia" w:asciiTheme="minorEastAsia" w:hAnsiTheme="minorEastAsia" w:eastAsiaTheme="minorEastAsia" w:cstheme="minorEastAsia"/>
                <w:color w:val="000000"/>
                <w:kern w:val="0"/>
                <w:sz w:val="21"/>
                <w:szCs w:val="21"/>
              </w:rPr>
            </w:pPr>
          </w:p>
        </w:tc>
        <w:tc>
          <w:tcPr>
            <w:tcW w:w="922" w:type="dxa"/>
            <w:vMerge w:val="continue"/>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1164" w:type="dxa"/>
            <w:gridSpan w:val="2"/>
            <w:vMerge w:val="continue"/>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1800"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指标4：对村（社区）信访维稳工作进行抽查、指导、评价</w:t>
            </w:r>
          </w:p>
        </w:tc>
        <w:tc>
          <w:tcPr>
            <w:tcW w:w="1405"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≥2次</w:t>
            </w:r>
          </w:p>
        </w:tc>
        <w:tc>
          <w:tcPr>
            <w:tcW w:w="1814" w:type="dxa"/>
            <w:gridSpan w:val="2"/>
            <w:tcBorders>
              <w:tl2br w:val="nil"/>
              <w:tr2bl w:val="nil"/>
            </w:tcBorders>
            <w:noWrap/>
            <w:vAlign w:val="center"/>
          </w:tcPr>
          <w:p>
            <w:pPr>
              <w:widowControl/>
              <w:spacing w:line="240" w:lineRule="exac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2次</w:t>
            </w:r>
          </w:p>
        </w:tc>
        <w:tc>
          <w:tcPr>
            <w:tcW w:w="1611" w:type="dxa"/>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00" w:type="dxa"/>
            <w:vMerge w:val="continue"/>
            <w:tcBorders>
              <w:tl2br w:val="nil"/>
              <w:tr2bl w:val="nil"/>
            </w:tcBorders>
            <w:vAlign w:val="center"/>
          </w:tcPr>
          <w:p>
            <w:pPr>
              <w:spacing w:line="240" w:lineRule="exact"/>
              <w:jc w:val="left"/>
              <w:rPr>
                <w:rFonts w:hint="eastAsia" w:asciiTheme="minorEastAsia" w:hAnsiTheme="minorEastAsia" w:eastAsiaTheme="minorEastAsia" w:cstheme="minorEastAsia"/>
                <w:color w:val="000000"/>
                <w:kern w:val="0"/>
                <w:sz w:val="21"/>
                <w:szCs w:val="21"/>
              </w:rPr>
            </w:pPr>
          </w:p>
        </w:tc>
        <w:tc>
          <w:tcPr>
            <w:tcW w:w="922" w:type="dxa"/>
            <w:vMerge w:val="continue"/>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1164" w:type="dxa"/>
            <w:gridSpan w:val="2"/>
            <w:vMerge w:val="continue"/>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1800"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指标5：开展夜间巡逻活动</w:t>
            </w:r>
          </w:p>
        </w:tc>
        <w:tc>
          <w:tcPr>
            <w:tcW w:w="1405"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≥48次</w:t>
            </w:r>
          </w:p>
        </w:tc>
        <w:tc>
          <w:tcPr>
            <w:tcW w:w="1814" w:type="dxa"/>
            <w:gridSpan w:val="2"/>
            <w:tcBorders>
              <w:tl2br w:val="nil"/>
              <w:tr2bl w:val="nil"/>
            </w:tcBorders>
            <w:noWrap/>
            <w:vAlign w:val="center"/>
          </w:tcPr>
          <w:p>
            <w:pPr>
              <w:widowControl/>
              <w:spacing w:line="240" w:lineRule="exac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48次</w:t>
            </w:r>
          </w:p>
        </w:tc>
        <w:tc>
          <w:tcPr>
            <w:tcW w:w="1611" w:type="dxa"/>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要求村（社区）至少一周一次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00" w:type="dxa"/>
            <w:vMerge w:val="continue"/>
            <w:tcBorders>
              <w:tl2br w:val="nil"/>
              <w:tr2bl w:val="nil"/>
            </w:tcBorders>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922" w:type="dxa"/>
            <w:vMerge w:val="continue"/>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1164" w:type="dxa"/>
            <w:gridSpan w:val="2"/>
            <w:vMerge w:val="restart"/>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质量指标</w:t>
            </w:r>
          </w:p>
        </w:tc>
        <w:tc>
          <w:tcPr>
            <w:tcW w:w="1800"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指标1：辖区扫黑除恶内容宣传（加强群众对毒品危害的认识度，调动群众的参与积极度）覆盖率</w:t>
            </w:r>
          </w:p>
        </w:tc>
        <w:tc>
          <w:tcPr>
            <w:tcW w:w="1405"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100%</w:t>
            </w:r>
          </w:p>
        </w:tc>
        <w:tc>
          <w:tcPr>
            <w:tcW w:w="181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100%</w:t>
            </w:r>
          </w:p>
        </w:tc>
        <w:tc>
          <w:tcPr>
            <w:tcW w:w="1611" w:type="dxa"/>
            <w:tcBorders>
              <w:tl2br w:val="nil"/>
              <w:tr2bl w:val="nil"/>
            </w:tcBorders>
            <w:noWrap/>
            <w:vAlign w:val="center"/>
          </w:tcPr>
          <w:p>
            <w:pPr>
              <w:widowControl/>
              <w:spacing w:line="240" w:lineRule="exact"/>
              <w:rPr>
                <w:rFonts w:hint="eastAsia" w:asciiTheme="minorEastAsia" w:hAnsiTheme="minorEastAsia" w:eastAsiaTheme="minorEastAsia" w:cstheme="minorEastAsia"/>
                <w:color w:val="000000"/>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00" w:type="dxa"/>
            <w:vMerge w:val="continue"/>
            <w:tcBorders>
              <w:tl2br w:val="nil"/>
              <w:tr2bl w:val="nil"/>
            </w:tcBorders>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922" w:type="dxa"/>
            <w:vMerge w:val="continue"/>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1164" w:type="dxa"/>
            <w:gridSpan w:val="2"/>
            <w:vMerge w:val="continue"/>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1800"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指标2：网格化管理日常工作全覆盖率</w:t>
            </w:r>
          </w:p>
        </w:tc>
        <w:tc>
          <w:tcPr>
            <w:tcW w:w="1405"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100%</w:t>
            </w:r>
          </w:p>
        </w:tc>
        <w:tc>
          <w:tcPr>
            <w:tcW w:w="181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100%</w:t>
            </w:r>
          </w:p>
        </w:tc>
        <w:tc>
          <w:tcPr>
            <w:tcW w:w="1611" w:type="dxa"/>
            <w:tcBorders>
              <w:tl2br w:val="nil"/>
              <w:tr2bl w:val="nil"/>
            </w:tcBorders>
            <w:noWrap/>
            <w:vAlign w:val="center"/>
          </w:tcPr>
          <w:p>
            <w:pPr>
              <w:widowControl/>
              <w:spacing w:line="240" w:lineRule="exact"/>
              <w:rPr>
                <w:rFonts w:hint="eastAsia" w:asciiTheme="minorEastAsia" w:hAnsiTheme="minorEastAsia" w:eastAsiaTheme="minorEastAsia" w:cstheme="minorEastAsia"/>
                <w:color w:val="000000"/>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00" w:type="dxa"/>
            <w:vMerge w:val="continue"/>
            <w:tcBorders>
              <w:tl2br w:val="nil"/>
              <w:tr2bl w:val="nil"/>
            </w:tcBorders>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922" w:type="dxa"/>
            <w:vMerge w:val="continue"/>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1164" w:type="dxa"/>
            <w:gridSpan w:val="2"/>
            <w:vMerge w:val="continue"/>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1800"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指标3：网格信息动态管理及时录入、处理</w:t>
            </w:r>
          </w:p>
        </w:tc>
        <w:tc>
          <w:tcPr>
            <w:tcW w:w="1405"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100%</w:t>
            </w:r>
          </w:p>
        </w:tc>
        <w:tc>
          <w:tcPr>
            <w:tcW w:w="181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100%</w:t>
            </w:r>
          </w:p>
        </w:tc>
        <w:tc>
          <w:tcPr>
            <w:tcW w:w="1611" w:type="dxa"/>
            <w:tcBorders>
              <w:tl2br w:val="nil"/>
              <w:tr2bl w:val="nil"/>
            </w:tcBorders>
            <w:noWrap/>
            <w:vAlign w:val="center"/>
          </w:tcPr>
          <w:p>
            <w:pPr>
              <w:widowControl/>
              <w:spacing w:line="240" w:lineRule="exact"/>
              <w:rPr>
                <w:rFonts w:hint="eastAsia" w:asciiTheme="minorEastAsia" w:hAnsiTheme="minorEastAsia" w:eastAsiaTheme="minorEastAsia" w:cstheme="minorEastAsia"/>
                <w:color w:val="000000"/>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00" w:type="dxa"/>
            <w:vMerge w:val="continue"/>
            <w:tcBorders>
              <w:tl2br w:val="nil"/>
              <w:tr2bl w:val="nil"/>
            </w:tcBorders>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922" w:type="dxa"/>
            <w:vMerge w:val="continue"/>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1164" w:type="dxa"/>
            <w:gridSpan w:val="2"/>
            <w:vMerge w:val="continue"/>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1800"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指标4：不发生较大群体性事件和影响恶劣的重大案件</w:t>
            </w:r>
          </w:p>
        </w:tc>
        <w:tc>
          <w:tcPr>
            <w:tcW w:w="1405"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0</w:t>
            </w:r>
          </w:p>
        </w:tc>
        <w:tc>
          <w:tcPr>
            <w:tcW w:w="181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0</w:t>
            </w:r>
          </w:p>
        </w:tc>
        <w:tc>
          <w:tcPr>
            <w:tcW w:w="1611" w:type="dxa"/>
            <w:tcBorders>
              <w:tl2br w:val="nil"/>
              <w:tr2bl w:val="nil"/>
            </w:tcBorders>
            <w:noWrap/>
            <w:vAlign w:val="center"/>
          </w:tcPr>
          <w:p>
            <w:pPr>
              <w:widowControl/>
              <w:spacing w:line="240" w:lineRule="exact"/>
              <w:rPr>
                <w:rFonts w:hint="eastAsia" w:asciiTheme="minorEastAsia" w:hAnsiTheme="minorEastAsia" w:eastAsiaTheme="minorEastAsia" w:cstheme="minorEastAsia"/>
                <w:color w:val="000000"/>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00" w:type="dxa"/>
            <w:vMerge w:val="continue"/>
            <w:tcBorders>
              <w:tl2br w:val="nil"/>
              <w:tr2bl w:val="nil"/>
            </w:tcBorders>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922" w:type="dxa"/>
            <w:vMerge w:val="continue"/>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1164" w:type="dxa"/>
            <w:gridSpan w:val="2"/>
            <w:vMerge w:val="continue"/>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1800"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指标5：辖区内夜间巡逻范围覆盖率</w:t>
            </w:r>
          </w:p>
        </w:tc>
        <w:tc>
          <w:tcPr>
            <w:tcW w:w="1405"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100%</w:t>
            </w:r>
          </w:p>
        </w:tc>
        <w:tc>
          <w:tcPr>
            <w:tcW w:w="181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100%</w:t>
            </w:r>
          </w:p>
        </w:tc>
        <w:tc>
          <w:tcPr>
            <w:tcW w:w="1611" w:type="dxa"/>
            <w:tcBorders>
              <w:tl2br w:val="nil"/>
              <w:tr2bl w:val="nil"/>
            </w:tcBorders>
            <w:noWrap/>
            <w:vAlign w:val="center"/>
          </w:tcPr>
          <w:p>
            <w:pPr>
              <w:widowControl/>
              <w:spacing w:line="240" w:lineRule="exact"/>
              <w:rPr>
                <w:rFonts w:hint="eastAsia" w:asciiTheme="minorEastAsia" w:hAnsiTheme="minorEastAsia" w:eastAsiaTheme="minorEastAsia" w:cstheme="minorEastAsia"/>
                <w:color w:val="000000"/>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00" w:type="dxa"/>
            <w:vMerge w:val="continue"/>
            <w:tcBorders>
              <w:tl2br w:val="nil"/>
              <w:tr2bl w:val="nil"/>
            </w:tcBorders>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922" w:type="dxa"/>
            <w:vMerge w:val="continue"/>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1164"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时效指标</w:t>
            </w:r>
          </w:p>
        </w:tc>
        <w:tc>
          <w:tcPr>
            <w:tcW w:w="1800"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指标1：定时开展各项宣传活动及工作</w:t>
            </w:r>
          </w:p>
        </w:tc>
        <w:tc>
          <w:tcPr>
            <w:tcW w:w="1405"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100%</w:t>
            </w:r>
          </w:p>
        </w:tc>
        <w:tc>
          <w:tcPr>
            <w:tcW w:w="181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100%</w:t>
            </w:r>
          </w:p>
        </w:tc>
        <w:tc>
          <w:tcPr>
            <w:tcW w:w="1611" w:type="dxa"/>
            <w:tcBorders>
              <w:tl2br w:val="nil"/>
              <w:tr2bl w:val="nil"/>
            </w:tcBorders>
            <w:noWrap/>
            <w:vAlign w:val="center"/>
          </w:tcPr>
          <w:p>
            <w:pPr>
              <w:widowControl/>
              <w:spacing w:line="240" w:lineRule="exact"/>
              <w:rPr>
                <w:rFonts w:hint="eastAsia" w:asciiTheme="minorEastAsia" w:hAnsiTheme="minorEastAsia" w:eastAsiaTheme="minorEastAsia" w:cstheme="minorEastAsia"/>
                <w:color w:val="000000"/>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00" w:type="dxa"/>
            <w:vMerge w:val="continue"/>
            <w:tcBorders>
              <w:tl2br w:val="nil"/>
              <w:tr2bl w:val="nil"/>
            </w:tcBorders>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922" w:type="dxa"/>
            <w:vMerge w:val="continue"/>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1164" w:type="dxa"/>
            <w:gridSpan w:val="2"/>
            <w:vMerge w:val="restart"/>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成本指标</w:t>
            </w:r>
          </w:p>
        </w:tc>
        <w:tc>
          <w:tcPr>
            <w:tcW w:w="1800"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指标1：开展基层综合治理、禁毒、法制等宣传工作经费</w:t>
            </w:r>
          </w:p>
        </w:tc>
        <w:tc>
          <w:tcPr>
            <w:tcW w:w="1405"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2万元</w:t>
            </w:r>
          </w:p>
        </w:tc>
        <w:tc>
          <w:tcPr>
            <w:tcW w:w="181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2万元</w:t>
            </w:r>
          </w:p>
        </w:tc>
        <w:tc>
          <w:tcPr>
            <w:tcW w:w="1611" w:type="dxa"/>
            <w:tcBorders>
              <w:tl2br w:val="nil"/>
              <w:tr2bl w:val="nil"/>
            </w:tcBorders>
            <w:noWrap/>
            <w:vAlign w:val="center"/>
          </w:tcPr>
          <w:p>
            <w:pPr>
              <w:widowControl/>
              <w:spacing w:line="240" w:lineRule="exact"/>
              <w:rPr>
                <w:rFonts w:hint="eastAsia" w:asciiTheme="minorEastAsia" w:hAnsiTheme="minorEastAsia" w:eastAsiaTheme="minorEastAsia" w:cstheme="minorEastAsia"/>
                <w:color w:val="000000"/>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00" w:type="dxa"/>
            <w:vMerge w:val="continue"/>
            <w:tcBorders>
              <w:tl2br w:val="nil"/>
              <w:tr2bl w:val="nil"/>
            </w:tcBorders>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922" w:type="dxa"/>
            <w:vMerge w:val="continue"/>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1164" w:type="dxa"/>
            <w:gridSpan w:val="2"/>
            <w:vMerge w:val="continue"/>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1800"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指标2：维稳工作经费</w:t>
            </w:r>
          </w:p>
        </w:tc>
        <w:tc>
          <w:tcPr>
            <w:tcW w:w="1405"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1万元</w:t>
            </w:r>
          </w:p>
        </w:tc>
        <w:tc>
          <w:tcPr>
            <w:tcW w:w="181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1万元</w:t>
            </w:r>
          </w:p>
        </w:tc>
        <w:tc>
          <w:tcPr>
            <w:tcW w:w="1611" w:type="dxa"/>
            <w:tcBorders>
              <w:tl2br w:val="nil"/>
              <w:tr2bl w:val="nil"/>
            </w:tcBorders>
            <w:noWrap/>
            <w:vAlign w:val="center"/>
          </w:tcPr>
          <w:p>
            <w:pPr>
              <w:widowControl/>
              <w:spacing w:line="240" w:lineRule="exact"/>
              <w:rPr>
                <w:rFonts w:hint="eastAsia" w:asciiTheme="minorEastAsia" w:hAnsiTheme="minorEastAsia" w:eastAsiaTheme="minorEastAsia" w:cstheme="minorEastAsia"/>
                <w:color w:val="000000"/>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00" w:type="dxa"/>
            <w:vMerge w:val="continue"/>
            <w:tcBorders>
              <w:tl2br w:val="nil"/>
              <w:tr2bl w:val="nil"/>
            </w:tcBorders>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922" w:type="dxa"/>
            <w:vMerge w:val="continue"/>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1164" w:type="dxa"/>
            <w:gridSpan w:val="2"/>
            <w:vMerge w:val="continue"/>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1800"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指标3：对困难对象进行慰问经费</w:t>
            </w:r>
          </w:p>
        </w:tc>
        <w:tc>
          <w:tcPr>
            <w:tcW w:w="1405"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0.5万元</w:t>
            </w:r>
          </w:p>
        </w:tc>
        <w:tc>
          <w:tcPr>
            <w:tcW w:w="181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0.5万元</w:t>
            </w:r>
          </w:p>
        </w:tc>
        <w:tc>
          <w:tcPr>
            <w:tcW w:w="1611" w:type="dxa"/>
            <w:tcBorders>
              <w:tl2br w:val="nil"/>
              <w:tr2bl w:val="nil"/>
            </w:tcBorders>
            <w:noWrap/>
            <w:vAlign w:val="center"/>
          </w:tcPr>
          <w:p>
            <w:pPr>
              <w:widowControl/>
              <w:spacing w:line="240" w:lineRule="exact"/>
              <w:rPr>
                <w:rFonts w:hint="eastAsia" w:asciiTheme="minorEastAsia" w:hAnsiTheme="minorEastAsia" w:eastAsiaTheme="minorEastAsia" w:cstheme="minorEastAsia"/>
                <w:color w:val="000000"/>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00" w:type="dxa"/>
            <w:vMerge w:val="continue"/>
            <w:tcBorders>
              <w:tl2br w:val="nil"/>
              <w:tr2bl w:val="nil"/>
            </w:tcBorders>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922" w:type="dxa"/>
            <w:vMerge w:val="restart"/>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效益指标</w:t>
            </w:r>
          </w:p>
        </w:tc>
        <w:tc>
          <w:tcPr>
            <w:tcW w:w="1164"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社会效益指标</w:t>
            </w:r>
          </w:p>
        </w:tc>
        <w:tc>
          <w:tcPr>
            <w:tcW w:w="1800"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指标1：通过辖区全覆盖网格化管理，及时处理群众反馈的问题，维持辖区安定和谐</w:t>
            </w:r>
          </w:p>
        </w:tc>
        <w:tc>
          <w:tcPr>
            <w:tcW w:w="1405"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良好</w:t>
            </w:r>
          </w:p>
        </w:tc>
        <w:tc>
          <w:tcPr>
            <w:tcW w:w="181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良好</w:t>
            </w:r>
          </w:p>
        </w:tc>
        <w:tc>
          <w:tcPr>
            <w:tcW w:w="1611" w:type="dxa"/>
            <w:tcBorders>
              <w:tl2br w:val="nil"/>
              <w:tr2bl w:val="nil"/>
            </w:tcBorders>
            <w:noWrap/>
            <w:vAlign w:val="center"/>
          </w:tcPr>
          <w:p>
            <w:pPr>
              <w:widowControl/>
              <w:spacing w:line="240" w:lineRule="exact"/>
              <w:rPr>
                <w:rFonts w:hint="eastAsia" w:asciiTheme="minorEastAsia" w:hAnsiTheme="minorEastAsia" w:eastAsiaTheme="minorEastAsia" w:cstheme="minorEastAsia"/>
                <w:color w:val="000000"/>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00" w:type="dxa"/>
            <w:vMerge w:val="continue"/>
            <w:tcBorders>
              <w:tl2br w:val="nil"/>
              <w:tr2bl w:val="nil"/>
            </w:tcBorders>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922" w:type="dxa"/>
            <w:vMerge w:val="continue"/>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1164" w:type="dxa"/>
            <w:gridSpan w:val="2"/>
            <w:vMerge w:val="restart"/>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可持续影响指标</w:t>
            </w:r>
          </w:p>
        </w:tc>
        <w:tc>
          <w:tcPr>
            <w:tcW w:w="1800"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指标1：持续开展各项基层治理专项工作，加强辖区群众如法制意识、禁毒意识等</w:t>
            </w:r>
          </w:p>
        </w:tc>
        <w:tc>
          <w:tcPr>
            <w:tcW w:w="1405"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良好</w:t>
            </w:r>
          </w:p>
        </w:tc>
        <w:tc>
          <w:tcPr>
            <w:tcW w:w="181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良好</w:t>
            </w:r>
          </w:p>
        </w:tc>
        <w:tc>
          <w:tcPr>
            <w:tcW w:w="1611" w:type="dxa"/>
            <w:tcBorders>
              <w:tl2br w:val="nil"/>
              <w:tr2bl w:val="nil"/>
            </w:tcBorders>
            <w:noWrap/>
            <w:vAlign w:val="center"/>
          </w:tcPr>
          <w:p>
            <w:pPr>
              <w:widowControl/>
              <w:spacing w:line="240" w:lineRule="exact"/>
              <w:rPr>
                <w:rFonts w:hint="eastAsia" w:asciiTheme="minorEastAsia" w:hAnsiTheme="minorEastAsia" w:eastAsiaTheme="minorEastAsia" w:cstheme="minorEastAsia"/>
                <w:color w:val="000000"/>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00" w:type="dxa"/>
            <w:vMerge w:val="continue"/>
            <w:tcBorders>
              <w:tl2br w:val="nil"/>
              <w:tr2bl w:val="nil"/>
            </w:tcBorders>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922" w:type="dxa"/>
            <w:vMerge w:val="continue"/>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1164" w:type="dxa"/>
            <w:gridSpan w:val="2"/>
            <w:vMerge w:val="continue"/>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1800"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指标2：持续夜间巡逻，熟悉掌握辖区环境，有问题时能够做到及时处理</w:t>
            </w:r>
          </w:p>
        </w:tc>
        <w:tc>
          <w:tcPr>
            <w:tcW w:w="1405"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100%</w:t>
            </w:r>
          </w:p>
        </w:tc>
        <w:tc>
          <w:tcPr>
            <w:tcW w:w="181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100%</w:t>
            </w:r>
          </w:p>
        </w:tc>
        <w:tc>
          <w:tcPr>
            <w:tcW w:w="1611" w:type="dxa"/>
            <w:tcBorders>
              <w:tl2br w:val="nil"/>
              <w:tr2bl w:val="nil"/>
            </w:tcBorders>
            <w:noWrap/>
            <w:vAlign w:val="center"/>
          </w:tcPr>
          <w:p>
            <w:pPr>
              <w:widowControl/>
              <w:spacing w:line="240" w:lineRule="exact"/>
              <w:rPr>
                <w:rFonts w:hint="eastAsia" w:asciiTheme="minorEastAsia" w:hAnsiTheme="minorEastAsia" w:eastAsiaTheme="minorEastAsia" w:cstheme="minorEastAsia"/>
                <w:color w:val="000000"/>
                <w:kern w:val="0"/>
                <w:sz w:val="21"/>
                <w:szCs w:val="21"/>
              </w:rPr>
            </w:pPr>
          </w:p>
          <w:p>
            <w:pPr>
              <w:widowControl/>
              <w:spacing w:line="240" w:lineRule="exac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熟悉辖区各村（社区）夜间环境，如地形、生活生产区域分布、人群分布等。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00" w:type="dxa"/>
            <w:vMerge w:val="continue"/>
            <w:tcBorders>
              <w:tl2br w:val="nil"/>
              <w:tr2bl w:val="nil"/>
            </w:tcBorders>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922" w:type="dxa"/>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满意度指标</w:t>
            </w:r>
          </w:p>
        </w:tc>
        <w:tc>
          <w:tcPr>
            <w:tcW w:w="1164"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满意度指标</w:t>
            </w:r>
          </w:p>
        </w:tc>
        <w:tc>
          <w:tcPr>
            <w:tcW w:w="1800"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指标1：社会群众对治安环境满意度</w:t>
            </w:r>
          </w:p>
        </w:tc>
        <w:tc>
          <w:tcPr>
            <w:tcW w:w="1405"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95%</w:t>
            </w:r>
          </w:p>
        </w:tc>
        <w:tc>
          <w:tcPr>
            <w:tcW w:w="181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95%</w:t>
            </w:r>
          </w:p>
        </w:tc>
        <w:tc>
          <w:tcPr>
            <w:tcW w:w="1611" w:type="dxa"/>
            <w:tcBorders>
              <w:tl2br w:val="nil"/>
              <w:tr2bl w:val="nil"/>
            </w:tcBorders>
            <w:noWrap/>
            <w:vAlign w:val="center"/>
          </w:tcPr>
          <w:p>
            <w:pPr>
              <w:widowControl/>
              <w:spacing w:line="240" w:lineRule="exact"/>
              <w:rPr>
                <w:rFonts w:hint="eastAsia" w:asciiTheme="minorEastAsia" w:hAnsiTheme="minorEastAsia" w:eastAsiaTheme="minorEastAsia" w:cstheme="minorEastAsia"/>
                <w:color w:val="000000"/>
                <w:kern w:val="0"/>
                <w:sz w:val="21"/>
                <w:szCs w:val="21"/>
              </w:rPr>
            </w:pPr>
          </w:p>
          <w:p>
            <w:pPr>
              <w:widowControl/>
              <w:spacing w:line="240" w:lineRule="exact"/>
              <w:rPr>
                <w:rFonts w:hint="eastAsia" w:asciiTheme="minorEastAsia" w:hAnsiTheme="minorEastAsia" w:eastAsiaTheme="minorEastAsia" w:cstheme="minorEastAsia"/>
                <w:color w:val="000000"/>
                <w:kern w:val="0"/>
                <w:sz w:val="21"/>
                <w:szCs w:val="21"/>
              </w:rPr>
            </w:pPr>
          </w:p>
          <w:p>
            <w:pPr>
              <w:widowControl/>
              <w:spacing w:line="240" w:lineRule="exact"/>
              <w:rPr>
                <w:rFonts w:hint="eastAsia" w:asciiTheme="minorEastAsia" w:hAnsiTheme="minorEastAsia" w:eastAsiaTheme="minorEastAsia" w:cstheme="minorEastAsia"/>
                <w:color w:val="000000"/>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00" w:type="dxa"/>
            <w:vMerge w:val="restart"/>
            <w:tcBorders>
              <w:tl2br w:val="nil"/>
              <w:tr2bl w:val="nil"/>
            </w:tcBorders>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目标6：做好安全生产与监督管理工作</w:t>
            </w:r>
          </w:p>
        </w:tc>
        <w:tc>
          <w:tcPr>
            <w:tcW w:w="922"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一级</w:t>
            </w:r>
          </w:p>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w:t>
            </w:r>
          </w:p>
        </w:tc>
        <w:tc>
          <w:tcPr>
            <w:tcW w:w="116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二级</w:t>
            </w:r>
          </w:p>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w:t>
            </w:r>
          </w:p>
        </w:tc>
        <w:tc>
          <w:tcPr>
            <w:tcW w:w="1800"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三级</w:t>
            </w:r>
          </w:p>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w:t>
            </w:r>
          </w:p>
        </w:tc>
        <w:tc>
          <w:tcPr>
            <w:tcW w:w="1405"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预算指标值(包含数字及文字描述)</w:t>
            </w:r>
          </w:p>
        </w:tc>
        <w:tc>
          <w:tcPr>
            <w:tcW w:w="1814" w:type="dxa"/>
            <w:gridSpan w:val="2"/>
            <w:tcBorders>
              <w:tl2br w:val="nil"/>
              <w:tr2bl w:val="nil"/>
            </w:tcBorders>
            <w:noWrap/>
            <w:vAlign w:val="center"/>
          </w:tcPr>
          <w:p>
            <w:pPr>
              <w:widowControl/>
              <w:spacing w:line="240" w:lineRule="exac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预算指标值执行结果(包含数字及文字描述)</w:t>
            </w:r>
          </w:p>
        </w:tc>
        <w:tc>
          <w:tcPr>
            <w:tcW w:w="1611" w:type="dxa"/>
            <w:tcBorders>
              <w:tl2br w:val="nil"/>
              <w:tr2bl w:val="nil"/>
            </w:tcBorders>
            <w:noWrap/>
            <w:vAlign w:val="center"/>
          </w:tcPr>
          <w:p>
            <w:pPr>
              <w:widowControl/>
              <w:spacing w:line="240" w:lineRule="exac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预算指标值与预算指标值执行结果偏差情况及原因分析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00" w:type="dxa"/>
            <w:vMerge w:val="continue"/>
            <w:tcBorders>
              <w:tl2br w:val="nil"/>
              <w:tr2bl w:val="nil"/>
            </w:tcBorders>
            <w:vAlign w:val="center"/>
          </w:tcPr>
          <w:p>
            <w:pPr>
              <w:spacing w:line="240" w:lineRule="exact"/>
              <w:jc w:val="left"/>
              <w:rPr>
                <w:rFonts w:hint="eastAsia" w:asciiTheme="minorEastAsia" w:hAnsiTheme="minorEastAsia" w:eastAsiaTheme="minorEastAsia" w:cstheme="minorEastAsia"/>
                <w:color w:val="000000"/>
                <w:kern w:val="0"/>
                <w:sz w:val="21"/>
                <w:szCs w:val="21"/>
              </w:rPr>
            </w:pPr>
          </w:p>
        </w:tc>
        <w:tc>
          <w:tcPr>
            <w:tcW w:w="922" w:type="dxa"/>
            <w:vMerge w:val="restart"/>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完成指标</w:t>
            </w:r>
          </w:p>
        </w:tc>
        <w:tc>
          <w:tcPr>
            <w:tcW w:w="1164" w:type="dxa"/>
            <w:gridSpan w:val="2"/>
            <w:vMerge w:val="restart"/>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数量指标</w:t>
            </w:r>
          </w:p>
        </w:tc>
        <w:tc>
          <w:tcPr>
            <w:tcW w:w="1800"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指标1：开展安全生产</w:t>
            </w:r>
            <w:r>
              <w:rPr>
                <w:rFonts w:hint="eastAsia" w:asciiTheme="minorEastAsia" w:hAnsiTheme="minorEastAsia" w:eastAsiaTheme="minorEastAsia" w:cstheme="minorEastAsia"/>
                <w:color w:val="000000"/>
                <w:kern w:val="0"/>
                <w:sz w:val="21"/>
                <w:szCs w:val="21"/>
                <w:lang w:eastAsia="zh-CN"/>
              </w:rPr>
              <w:t>月</w:t>
            </w:r>
            <w:r>
              <w:rPr>
                <w:rFonts w:hint="eastAsia" w:asciiTheme="minorEastAsia" w:hAnsiTheme="minorEastAsia" w:eastAsiaTheme="minorEastAsia" w:cstheme="minorEastAsia"/>
                <w:color w:val="000000"/>
                <w:kern w:val="0"/>
                <w:sz w:val="21"/>
                <w:szCs w:val="21"/>
              </w:rPr>
              <w:t>宣传活动</w:t>
            </w:r>
          </w:p>
        </w:tc>
        <w:tc>
          <w:tcPr>
            <w:tcW w:w="1405"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6次</w:t>
            </w:r>
          </w:p>
        </w:tc>
        <w:tc>
          <w:tcPr>
            <w:tcW w:w="181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6次</w:t>
            </w:r>
          </w:p>
        </w:tc>
        <w:tc>
          <w:tcPr>
            <w:tcW w:w="1611" w:type="dxa"/>
            <w:tcBorders>
              <w:tl2br w:val="nil"/>
              <w:tr2bl w:val="nil"/>
            </w:tcBorders>
            <w:noWrap/>
            <w:vAlign w:val="center"/>
          </w:tcPr>
          <w:p>
            <w:pPr>
              <w:widowControl/>
              <w:spacing w:line="240" w:lineRule="exact"/>
              <w:rPr>
                <w:rFonts w:hint="eastAsia" w:asciiTheme="minorEastAsia" w:hAnsiTheme="minorEastAsia" w:eastAsiaTheme="minorEastAsia" w:cstheme="minorEastAsia"/>
                <w:color w:val="000000"/>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00" w:type="dxa"/>
            <w:vMerge w:val="continue"/>
            <w:tcBorders>
              <w:tl2br w:val="nil"/>
              <w:tr2bl w:val="nil"/>
            </w:tcBorders>
            <w:vAlign w:val="center"/>
          </w:tcPr>
          <w:p>
            <w:pPr>
              <w:spacing w:line="240" w:lineRule="exact"/>
              <w:jc w:val="left"/>
              <w:rPr>
                <w:rFonts w:hint="eastAsia" w:asciiTheme="minorEastAsia" w:hAnsiTheme="minorEastAsia" w:eastAsiaTheme="minorEastAsia" w:cstheme="minorEastAsia"/>
                <w:color w:val="000000"/>
                <w:kern w:val="0"/>
                <w:sz w:val="21"/>
                <w:szCs w:val="21"/>
              </w:rPr>
            </w:pPr>
          </w:p>
        </w:tc>
        <w:tc>
          <w:tcPr>
            <w:tcW w:w="922" w:type="dxa"/>
            <w:vMerge w:val="continue"/>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1164" w:type="dxa"/>
            <w:gridSpan w:val="2"/>
            <w:vMerge w:val="continue"/>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1800"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指标2：开展安全生产检查</w:t>
            </w:r>
          </w:p>
        </w:tc>
        <w:tc>
          <w:tcPr>
            <w:tcW w:w="1405"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12次</w:t>
            </w:r>
          </w:p>
        </w:tc>
        <w:tc>
          <w:tcPr>
            <w:tcW w:w="181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12次</w:t>
            </w:r>
          </w:p>
        </w:tc>
        <w:tc>
          <w:tcPr>
            <w:tcW w:w="1611" w:type="dxa"/>
            <w:tcBorders>
              <w:tl2br w:val="nil"/>
              <w:tr2bl w:val="nil"/>
            </w:tcBorders>
            <w:noWrap/>
            <w:vAlign w:val="center"/>
          </w:tcPr>
          <w:p>
            <w:pPr>
              <w:widowControl/>
              <w:spacing w:line="240" w:lineRule="exac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每月一次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00" w:type="dxa"/>
            <w:vMerge w:val="continue"/>
            <w:tcBorders>
              <w:tl2br w:val="nil"/>
              <w:tr2bl w:val="nil"/>
            </w:tcBorders>
            <w:vAlign w:val="center"/>
          </w:tcPr>
          <w:p>
            <w:pPr>
              <w:spacing w:line="240" w:lineRule="exact"/>
              <w:jc w:val="left"/>
              <w:rPr>
                <w:rFonts w:hint="eastAsia" w:asciiTheme="minorEastAsia" w:hAnsiTheme="minorEastAsia" w:eastAsiaTheme="minorEastAsia" w:cstheme="minorEastAsia"/>
                <w:color w:val="000000"/>
                <w:kern w:val="0"/>
                <w:sz w:val="21"/>
                <w:szCs w:val="21"/>
              </w:rPr>
            </w:pPr>
          </w:p>
        </w:tc>
        <w:tc>
          <w:tcPr>
            <w:tcW w:w="922" w:type="dxa"/>
            <w:vMerge w:val="continue"/>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1164" w:type="dxa"/>
            <w:gridSpan w:val="2"/>
            <w:vMerge w:val="continue"/>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1800"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指标3：开展村（社区）消防演练活动</w:t>
            </w:r>
          </w:p>
        </w:tc>
        <w:tc>
          <w:tcPr>
            <w:tcW w:w="1405"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2次</w:t>
            </w:r>
          </w:p>
        </w:tc>
        <w:tc>
          <w:tcPr>
            <w:tcW w:w="181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2次</w:t>
            </w:r>
          </w:p>
        </w:tc>
        <w:tc>
          <w:tcPr>
            <w:tcW w:w="1611" w:type="dxa"/>
            <w:tcBorders>
              <w:tl2br w:val="nil"/>
              <w:tr2bl w:val="nil"/>
            </w:tcBorders>
            <w:noWrap/>
            <w:vAlign w:val="center"/>
          </w:tcPr>
          <w:p>
            <w:pPr>
              <w:widowControl/>
              <w:spacing w:line="240" w:lineRule="exact"/>
              <w:rPr>
                <w:rFonts w:hint="eastAsia" w:asciiTheme="minorEastAsia" w:hAnsiTheme="minorEastAsia" w:eastAsiaTheme="minorEastAsia" w:cstheme="minorEastAsia"/>
                <w:color w:val="000000"/>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00" w:type="dxa"/>
            <w:vMerge w:val="continue"/>
            <w:tcBorders>
              <w:tl2br w:val="nil"/>
              <w:tr2bl w:val="nil"/>
            </w:tcBorders>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922" w:type="dxa"/>
            <w:vMerge w:val="continue"/>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1164" w:type="dxa"/>
            <w:gridSpan w:val="2"/>
            <w:vMerge w:val="restart"/>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质量指标</w:t>
            </w:r>
          </w:p>
        </w:tc>
        <w:tc>
          <w:tcPr>
            <w:tcW w:w="1800"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指标1：安全生产等隐患整改达标率</w:t>
            </w:r>
          </w:p>
        </w:tc>
        <w:tc>
          <w:tcPr>
            <w:tcW w:w="1405"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100%</w:t>
            </w:r>
          </w:p>
        </w:tc>
        <w:tc>
          <w:tcPr>
            <w:tcW w:w="181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100%</w:t>
            </w:r>
          </w:p>
        </w:tc>
        <w:tc>
          <w:tcPr>
            <w:tcW w:w="1611" w:type="dxa"/>
            <w:tcBorders>
              <w:tl2br w:val="nil"/>
              <w:tr2bl w:val="nil"/>
            </w:tcBorders>
            <w:noWrap/>
            <w:vAlign w:val="center"/>
          </w:tcPr>
          <w:p>
            <w:pPr>
              <w:widowControl/>
              <w:spacing w:line="240" w:lineRule="exact"/>
              <w:rPr>
                <w:rFonts w:hint="eastAsia" w:asciiTheme="minorEastAsia" w:hAnsiTheme="minorEastAsia" w:eastAsiaTheme="minorEastAsia" w:cstheme="minorEastAsia"/>
                <w:color w:val="000000"/>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00" w:type="dxa"/>
            <w:vMerge w:val="continue"/>
            <w:tcBorders>
              <w:tl2br w:val="nil"/>
              <w:tr2bl w:val="nil"/>
            </w:tcBorders>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922" w:type="dxa"/>
            <w:vMerge w:val="continue"/>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1164" w:type="dxa"/>
            <w:gridSpan w:val="2"/>
            <w:vMerge w:val="continue"/>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1800"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指标2： 救灾受理率</w:t>
            </w:r>
          </w:p>
        </w:tc>
        <w:tc>
          <w:tcPr>
            <w:tcW w:w="1405"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100%</w:t>
            </w:r>
          </w:p>
        </w:tc>
        <w:tc>
          <w:tcPr>
            <w:tcW w:w="181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100%</w:t>
            </w:r>
          </w:p>
        </w:tc>
        <w:tc>
          <w:tcPr>
            <w:tcW w:w="1611"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00" w:type="dxa"/>
            <w:vMerge w:val="continue"/>
            <w:tcBorders>
              <w:tl2br w:val="nil"/>
              <w:tr2bl w:val="nil"/>
            </w:tcBorders>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922" w:type="dxa"/>
            <w:vMerge w:val="continue"/>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1164" w:type="dxa"/>
            <w:gridSpan w:val="2"/>
            <w:vMerge w:val="continue"/>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1800"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指标3：确保辖区安全稳定，无责任事故发生</w:t>
            </w:r>
          </w:p>
        </w:tc>
        <w:tc>
          <w:tcPr>
            <w:tcW w:w="1405"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0次</w:t>
            </w:r>
          </w:p>
        </w:tc>
        <w:tc>
          <w:tcPr>
            <w:tcW w:w="181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0次</w:t>
            </w:r>
          </w:p>
        </w:tc>
        <w:tc>
          <w:tcPr>
            <w:tcW w:w="1611"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00" w:type="dxa"/>
            <w:vMerge w:val="continue"/>
            <w:tcBorders>
              <w:tl2br w:val="nil"/>
              <w:tr2bl w:val="nil"/>
            </w:tcBorders>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922" w:type="dxa"/>
            <w:vMerge w:val="continue"/>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1164"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时效指标</w:t>
            </w:r>
          </w:p>
        </w:tc>
        <w:tc>
          <w:tcPr>
            <w:tcW w:w="1800"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指标1：及时解决辖区群众反馈的问题</w:t>
            </w:r>
          </w:p>
        </w:tc>
        <w:tc>
          <w:tcPr>
            <w:tcW w:w="1405"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100%</w:t>
            </w:r>
          </w:p>
        </w:tc>
        <w:tc>
          <w:tcPr>
            <w:tcW w:w="181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100%</w:t>
            </w:r>
          </w:p>
        </w:tc>
        <w:tc>
          <w:tcPr>
            <w:tcW w:w="1611"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00" w:type="dxa"/>
            <w:vMerge w:val="continue"/>
            <w:tcBorders>
              <w:tl2br w:val="nil"/>
              <w:tr2bl w:val="nil"/>
            </w:tcBorders>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922" w:type="dxa"/>
            <w:vMerge w:val="continue"/>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1164"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成本指标</w:t>
            </w:r>
          </w:p>
        </w:tc>
        <w:tc>
          <w:tcPr>
            <w:tcW w:w="1800"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 xml:space="preserve">指标1：安全生产工作宣传标语印刷费用 </w:t>
            </w:r>
          </w:p>
        </w:tc>
        <w:tc>
          <w:tcPr>
            <w:tcW w:w="1405"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1万元</w:t>
            </w:r>
          </w:p>
        </w:tc>
        <w:tc>
          <w:tcPr>
            <w:tcW w:w="181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1万元</w:t>
            </w:r>
          </w:p>
        </w:tc>
        <w:tc>
          <w:tcPr>
            <w:tcW w:w="1611" w:type="dxa"/>
            <w:tcBorders>
              <w:tl2br w:val="nil"/>
              <w:tr2bl w:val="nil"/>
            </w:tcBorders>
            <w:noWrap/>
            <w:vAlign w:val="center"/>
          </w:tcPr>
          <w:p>
            <w:pPr>
              <w:widowControl/>
              <w:spacing w:line="240" w:lineRule="exact"/>
              <w:rPr>
                <w:rFonts w:hint="eastAsia" w:asciiTheme="minorEastAsia" w:hAnsiTheme="minorEastAsia" w:eastAsiaTheme="minorEastAsia" w:cstheme="minorEastAsia"/>
                <w:color w:val="000000"/>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00" w:type="dxa"/>
            <w:vMerge w:val="continue"/>
            <w:tcBorders>
              <w:tl2br w:val="nil"/>
              <w:tr2bl w:val="nil"/>
            </w:tcBorders>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922" w:type="dxa"/>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效益指标</w:t>
            </w:r>
          </w:p>
        </w:tc>
        <w:tc>
          <w:tcPr>
            <w:tcW w:w="1164"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社会效益指标</w:t>
            </w:r>
          </w:p>
        </w:tc>
        <w:tc>
          <w:tcPr>
            <w:tcW w:w="1800"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指标1：及时消除辖区生产生活潜在安全隐患，保障辖区居民、企业生命财产安全</w:t>
            </w:r>
          </w:p>
        </w:tc>
        <w:tc>
          <w:tcPr>
            <w:tcW w:w="1405"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95%</w:t>
            </w:r>
          </w:p>
        </w:tc>
        <w:tc>
          <w:tcPr>
            <w:tcW w:w="181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95%</w:t>
            </w:r>
          </w:p>
        </w:tc>
        <w:tc>
          <w:tcPr>
            <w:tcW w:w="1611" w:type="dxa"/>
            <w:tcBorders>
              <w:tl2br w:val="nil"/>
              <w:tr2bl w:val="nil"/>
            </w:tcBorders>
            <w:noWrap/>
            <w:vAlign w:val="center"/>
          </w:tcPr>
          <w:p>
            <w:pPr>
              <w:widowControl/>
              <w:spacing w:line="240" w:lineRule="exact"/>
              <w:rPr>
                <w:rFonts w:hint="eastAsia" w:asciiTheme="minorEastAsia" w:hAnsiTheme="minorEastAsia" w:eastAsiaTheme="minorEastAsia" w:cstheme="minorEastAsia"/>
                <w:color w:val="000000"/>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00" w:type="dxa"/>
            <w:vMerge w:val="continue"/>
            <w:tcBorders>
              <w:tl2br w:val="nil"/>
              <w:tr2bl w:val="nil"/>
            </w:tcBorders>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922" w:type="dxa"/>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满意度指标</w:t>
            </w:r>
          </w:p>
        </w:tc>
        <w:tc>
          <w:tcPr>
            <w:tcW w:w="1164"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满意度指标</w:t>
            </w:r>
          </w:p>
        </w:tc>
        <w:tc>
          <w:tcPr>
            <w:tcW w:w="1800"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指标1：辖区群众、企业对安全生产、生活工作满意度</w:t>
            </w:r>
          </w:p>
        </w:tc>
        <w:tc>
          <w:tcPr>
            <w:tcW w:w="1405"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95%</w:t>
            </w:r>
          </w:p>
        </w:tc>
        <w:tc>
          <w:tcPr>
            <w:tcW w:w="181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95%</w:t>
            </w:r>
          </w:p>
        </w:tc>
        <w:tc>
          <w:tcPr>
            <w:tcW w:w="1611" w:type="dxa"/>
            <w:tcBorders>
              <w:tl2br w:val="nil"/>
              <w:tr2bl w:val="nil"/>
            </w:tcBorders>
            <w:noWrap/>
            <w:vAlign w:val="center"/>
          </w:tcPr>
          <w:p>
            <w:pPr>
              <w:widowControl/>
              <w:spacing w:line="240" w:lineRule="exact"/>
              <w:rPr>
                <w:rFonts w:hint="eastAsia" w:asciiTheme="minorEastAsia" w:hAnsiTheme="minorEastAsia" w:eastAsiaTheme="minorEastAsia" w:cstheme="minorEastAsia"/>
                <w:color w:val="000000"/>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00" w:type="dxa"/>
            <w:vMerge w:val="restart"/>
            <w:tcBorders>
              <w:tl2br w:val="nil"/>
              <w:tr2bl w:val="nil"/>
            </w:tcBorders>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目标</w:t>
            </w:r>
            <w:r>
              <w:rPr>
                <w:rFonts w:hint="eastAsia" w:asciiTheme="minorEastAsia" w:hAnsiTheme="minorEastAsia" w:eastAsiaTheme="minorEastAsia" w:cstheme="minorEastAsia"/>
                <w:color w:val="000000"/>
                <w:kern w:val="0"/>
                <w:sz w:val="21"/>
                <w:szCs w:val="21"/>
                <w:lang w:val="en-US" w:eastAsia="zh-CN"/>
              </w:rPr>
              <w:t>7</w:t>
            </w:r>
            <w:r>
              <w:rPr>
                <w:rFonts w:hint="eastAsia" w:asciiTheme="minorEastAsia" w:hAnsiTheme="minorEastAsia" w:eastAsiaTheme="minorEastAsia" w:cstheme="minorEastAsia"/>
                <w:color w:val="000000"/>
                <w:kern w:val="0"/>
                <w:sz w:val="21"/>
                <w:szCs w:val="21"/>
              </w:rPr>
              <w:t>：做好村（社区）账街代理工作，保证社区、村级组织健康、正常运转</w:t>
            </w:r>
          </w:p>
        </w:tc>
        <w:tc>
          <w:tcPr>
            <w:tcW w:w="922" w:type="dxa"/>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一级</w:t>
            </w:r>
          </w:p>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w:t>
            </w:r>
          </w:p>
        </w:tc>
        <w:tc>
          <w:tcPr>
            <w:tcW w:w="1164"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二级</w:t>
            </w:r>
          </w:p>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w:t>
            </w:r>
          </w:p>
        </w:tc>
        <w:tc>
          <w:tcPr>
            <w:tcW w:w="1800"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三级</w:t>
            </w:r>
          </w:p>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w:t>
            </w:r>
          </w:p>
        </w:tc>
        <w:tc>
          <w:tcPr>
            <w:tcW w:w="1405"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预算指标值(包含数字及文字描述)</w:t>
            </w:r>
          </w:p>
        </w:tc>
        <w:tc>
          <w:tcPr>
            <w:tcW w:w="181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预算指标值执行结果(包含数字及文字描述)</w:t>
            </w:r>
          </w:p>
        </w:tc>
        <w:tc>
          <w:tcPr>
            <w:tcW w:w="1611"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预算指标值与预算指标值执行结果偏差情况及原因分析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00" w:type="dxa"/>
            <w:vMerge w:val="continue"/>
            <w:tcBorders>
              <w:tl2br w:val="nil"/>
              <w:tr2bl w:val="nil"/>
            </w:tcBorders>
            <w:vAlign w:val="center"/>
          </w:tcPr>
          <w:p>
            <w:pPr>
              <w:spacing w:line="240" w:lineRule="exact"/>
              <w:jc w:val="left"/>
              <w:rPr>
                <w:rFonts w:hint="eastAsia" w:asciiTheme="minorEastAsia" w:hAnsiTheme="minorEastAsia" w:eastAsiaTheme="minorEastAsia" w:cstheme="minorEastAsia"/>
                <w:color w:val="000000"/>
                <w:kern w:val="0"/>
                <w:sz w:val="21"/>
                <w:szCs w:val="21"/>
              </w:rPr>
            </w:pPr>
          </w:p>
        </w:tc>
        <w:tc>
          <w:tcPr>
            <w:tcW w:w="922" w:type="dxa"/>
            <w:vMerge w:val="restart"/>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完成指标</w:t>
            </w:r>
          </w:p>
        </w:tc>
        <w:tc>
          <w:tcPr>
            <w:tcW w:w="1164" w:type="dxa"/>
            <w:gridSpan w:val="2"/>
            <w:vMerge w:val="restart"/>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数量指标</w:t>
            </w:r>
          </w:p>
        </w:tc>
        <w:tc>
          <w:tcPr>
            <w:tcW w:w="1800"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指标1：完成村（社区）202</w:t>
            </w:r>
            <w:r>
              <w:rPr>
                <w:rFonts w:hint="eastAsia" w:asciiTheme="minorEastAsia" w:hAnsiTheme="minorEastAsia" w:eastAsiaTheme="minorEastAsia" w:cstheme="minorEastAsia"/>
                <w:color w:val="000000"/>
                <w:kern w:val="0"/>
                <w:sz w:val="21"/>
                <w:szCs w:val="21"/>
                <w:lang w:val="en-US" w:eastAsia="zh-CN"/>
              </w:rPr>
              <w:t>2</w:t>
            </w:r>
            <w:r>
              <w:rPr>
                <w:rFonts w:hint="eastAsia" w:asciiTheme="minorEastAsia" w:hAnsiTheme="minorEastAsia" w:eastAsiaTheme="minorEastAsia" w:cstheme="minorEastAsia"/>
                <w:color w:val="000000"/>
                <w:kern w:val="0"/>
                <w:sz w:val="21"/>
                <w:szCs w:val="21"/>
              </w:rPr>
              <w:t>年代账账务工作</w:t>
            </w:r>
          </w:p>
        </w:tc>
        <w:tc>
          <w:tcPr>
            <w:tcW w:w="1405"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19个</w:t>
            </w:r>
          </w:p>
        </w:tc>
        <w:tc>
          <w:tcPr>
            <w:tcW w:w="181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19个</w:t>
            </w:r>
          </w:p>
        </w:tc>
        <w:tc>
          <w:tcPr>
            <w:tcW w:w="1611"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辖区共13个社区、6个村</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00" w:type="dxa"/>
            <w:vMerge w:val="continue"/>
            <w:tcBorders>
              <w:tl2br w:val="nil"/>
              <w:tr2bl w:val="nil"/>
            </w:tcBorders>
            <w:vAlign w:val="center"/>
          </w:tcPr>
          <w:p>
            <w:pPr>
              <w:spacing w:line="240" w:lineRule="exact"/>
              <w:jc w:val="left"/>
              <w:rPr>
                <w:rFonts w:hint="eastAsia" w:asciiTheme="minorEastAsia" w:hAnsiTheme="minorEastAsia" w:eastAsiaTheme="minorEastAsia" w:cstheme="minorEastAsia"/>
                <w:color w:val="000000"/>
                <w:kern w:val="0"/>
                <w:sz w:val="21"/>
                <w:szCs w:val="21"/>
              </w:rPr>
            </w:pPr>
          </w:p>
        </w:tc>
        <w:tc>
          <w:tcPr>
            <w:tcW w:w="922" w:type="dxa"/>
            <w:vMerge w:val="continue"/>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1164" w:type="dxa"/>
            <w:gridSpan w:val="2"/>
            <w:vMerge w:val="continue"/>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1800"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指标2：加强对村（社区）日常报账工作指导、村（社区）按月公开财务情况</w:t>
            </w:r>
          </w:p>
        </w:tc>
        <w:tc>
          <w:tcPr>
            <w:tcW w:w="1405"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12次</w:t>
            </w:r>
          </w:p>
        </w:tc>
        <w:tc>
          <w:tcPr>
            <w:tcW w:w="181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12次</w:t>
            </w:r>
          </w:p>
        </w:tc>
        <w:tc>
          <w:tcPr>
            <w:tcW w:w="1611"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按月进行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00" w:type="dxa"/>
            <w:vMerge w:val="continue"/>
            <w:tcBorders>
              <w:tl2br w:val="nil"/>
              <w:tr2bl w:val="nil"/>
            </w:tcBorders>
            <w:vAlign w:val="center"/>
          </w:tcPr>
          <w:p>
            <w:pPr>
              <w:spacing w:line="240" w:lineRule="exact"/>
              <w:jc w:val="left"/>
              <w:rPr>
                <w:rFonts w:hint="eastAsia" w:asciiTheme="minorEastAsia" w:hAnsiTheme="minorEastAsia" w:eastAsiaTheme="minorEastAsia" w:cstheme="minorEastAsia"/>
                <w:color w:val="000000"/>
                <w:kern w:val="0"/>
                <w:sz w:val="21"/>
                <w:szCs w:val="21"/>
              </w:rPr>
            </w:pPr>
          </w:p>
        </w:tc>
        <w:tc>
          <w:tcPr>
            <w:tcW w:w="922" w:type="dxa"/>
            <w:vMerge w:val="continue"/>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1164" w:type="dxa"/>
            <w:gridSpan w:val="2"/>
            <w:vMerge w:val="continue"/>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1800"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指标3：组织村（社区）报账人员进行相关培训</w:t>
            </w:r>
          </w:p>
        </w:tc>
        <w:tc>
          <w:tcPr>
            <w:tcW w:w="1405"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1次</w:t>
            </w:r>
          </w:p>
        </w:tc>
        <w:tc>
          <w:tcPr>
            <w:tcW w:w="181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1次</w:t>
            </w:r>
          </w:p>
        </w:tc>
        <w:tc>
          <w:tcPr>
            <w:tcW w:w="1611"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完善报账手续程序培训</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00" w:type="dxa"/>
            <w:vMerge w:val="continue"/>
            <w:tcBorders>
              <w:tl2br w:val="nil"/>
              <w:tr2bl w:val="nil"/>
            </w:tcBorders>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922" w:type="dxa"/>
            <w:vMerge w:val="continue"/>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1164" w:type="dxa"/>
            <w:gridSpan w:val="2"/>
            <w:vMerge w:val="restart"/>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质量指标</w:t>
            </w:r>
          </w:p>
        </w:tc>
        <w:tc>
          <w:tcPr>
            <w:tcW w:w="1800"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指标1：村（社区）财务监管覆盖率</w:t>
            </w:r>
          </w:p>
        </w:tc>
        <w:tc>
          <w:tcPr>
            <w:tcW w:w="1405"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100%</w:t>
            </w:r>
          </w:p>
        </w:tc>
        <w:tc>
          <w:tcPr>
            <w:tcW w:w="181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100%</w:t>
            </w:r>
          </w:p>
        </w:tc>
        <w:tc>
          <w:tcPr>
            <w:tcW w:w="1611"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00" w:type="dxa"/>
            <w:vMerge w:val="continue"/>
            <w:tcBorders>
              <w:tl2br w:val="nil"/>
              <w:tr2bl w:val="nil"/>
            </w:tcBorders>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922" w:type="dxa"/>
            <w:vMerge w:val="continue"/>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1164" w:type="dxa"/>
            <w:gridSpan w:val="2"/>
            <w:vMerge w:val="continue"/>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1800"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指标2：村（社区）财务预算结转结余率</w:t>
            </w:r>
          </w:p>
        </w:tc>
        <w:tc>
          <w:tcPr>
            <w:tcW w:w="1405"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0%</w:t>
            </w:r>
          </w:p>
        </w:tc>
        <w:tc>
          <w:tcPr>
            <w:tcW w:w="181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0%</w:t>
            </w:r>
          </w:p>
        </w:tc>
        <w:tc>
          <w:tcPr>
            <w:tcW w:w="1611"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该值越低，说明预算越准确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00" w:type="dxa"/>
            <w:vMerge w:val="continue"/>
            <w:tcBorders>
              <w:tl2br w:val="nil"/>
              <w:tr2bl w:val="nil"/>
            </w:tcBorders>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922" w:type="dxa"/>
            <w:vMerge w:val="continue"/>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1164" w:type="dxa"/>
            <w:gridSpan w:val="2"/>
            <w:vMerge w:val="continue"/>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1800"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指标3：村（社区）财务核算准确率</w:t>
            </w:r>
          </w:p>
        </w:tc>
        <w:tc>
          <w:tcPr>
            <w:tcW w:w="1405"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100%</w:t>
            </w:r>
          </w:p>
        </w:tc>
        <w:tc>
          <w:tcPr>
            <w:tcW w:w="181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100%</w:t>
            </w:r>
          </w:p>
        </w:tc>
        <w:tc>
          <w:tcPr>
            <w:tcW w:w="1611"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00" w:type="dxa"/>
            <w:vMerge w:val="continue"/>
            <w:tcBorders>
              <w:tl2br w:val="nil"/>
              <w:tr2bl w:val="nil"/>
            </w:tcBorders>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922" w:type="dxa"/>
            <w:vMerge w:val="continue"/>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1164" w:type="dxa"/>
            <w:gridSpan w:val="2"/>
            <w:vMerge w:val="continue"/>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1800"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指标4：村（社区）财务报销程序合规、手续齐全</w:t>
            </w:r>
          </w:p>
        </w:tc>
        <w:tc>
          <w:tcPr>
            <w:tcW w:w="1405"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100%</w:t>
            </w:r>
          </w:p>
        </w:tc>
        <w:tc>
          <w:tcPr>
            <w:tcW w:w="181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100%</w:t>
            </w:r>
          </w:p>
        </w:tc>
        <w:tc>
          <w:tcPr>
            <w:tcW w:w="1611"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00" w:type="dxa"/>
            <w:vMerge w:val="continue"/>
            <w:tcBorders>
              <w:tl2br w:val="nil"/>
              <w:tr2bl w:val="nil"/>
            </w:tcBorders>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922" w:type="dxa"/>
            <w:vMerge w:val="continue"/>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1164"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时效指标</w:t>
            </w:r>
          </w:p>
        </w:tc>
        <w:tc>
          <w:tcPr>
            <w:tcW w:w="1800"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指标1：及时支付率</w:t>
            </w:r>
          </w:p>
        </w:tc>
        <w:tc>
          <w:tcPr>
            <w:tcW w:w="1405"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100%</w:t>
            </w:r>
          </w:p>
        </w:tc>
        <w:tc>
          <w:tcPr>
            <w:tcW w:w="181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100%</w:t>
            </w:r>
          </w:p>
        </w:tc>
        <w:tc>
          <w:tcPr>
            <w:tcW w:w="1611"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00" w:type="dxa"/>
            <w:vMerge w:val="continue"/>
            <w:tcBorders>
              <w:tl2br w:val="nil"/>
              <w:tr2bl w:val="nil"/>
            </w:tcBorders>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922" w:type="dxa"/>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效益指标</w:t>
            </w:r>
          </w:p>
        </w:tc>
        <w:tc>
          <w:tcPr>
            <w:tcW w:w="1164"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社会效益指标</w:t>
            </w:r>
          </w:p>
        </w:tc>
        <w:tc>
          <w:tcPr>
            <w:tcW w:w="1800"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指标1：村（社区）财务公开透明</w:t>
            </w:r>
          </w:p>
        </w:tc>
        <w:tc>
          <w:tcPr>
            <w:tcW w:w="1405"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良好</w:t>
            </w:r>
          </w:p>
        </w:tc>
        <w:tc>
          <w:tcPr>
            <w:tcW w:w="181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良好</w:t>
            </w:r>
          </w:p>
        </w:tc>
        <w:tc>
          <w:tcPr>
            <w:tcW w:w="1611"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00" w:type="dxa"/>
            <w:vMerge w:val="continue"/>
            <w:tcBorders>
              <w:tl2br w:val="nil"/>
              <w:tr2bl w:val="nil"/>
            </w:tcBorders>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922" w:type="dxa"/>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满意度指标</w:t>
            </w:r>
          </w:p>
        </w:tc>
        <w:tc>
          <w:tcPr>
            <w:tcW w:w="1164"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满意度指标</w:t>
            </w:r>
          </w:p>
        </w:tc>
        <w:tc>
          <w:tcPr>
            <w:tcW w:w="1800"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指标1：村（社区）居委、辖区居民对街道财务代理工作满意度</w:t>
            </w:r>
          </w:p>
        </w:tc>
        <w:tc>
          <w:tcPr>
            <w:tcW w:w="1405"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100%</w:t>
            </w:r>
          </w:p>
        </w:tc>
        <w:tc>
          <w:tcPr>
            <w:tcW w:w="181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100%</w:t>
            </w:r>
          </w:p>
        </w:tc>
        <w:tc>
          <w:tcPr>
            <w:tcW w:w="1611"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00" w:type="dxa"/>
            <w:vMerge w:val="restart"/>
            <w:tcBorders>
              <w:tl2br w:val="nil"/>
              <w:tr2bl w:val="nil"/>
            </w:tcBorders>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目标</w:t>
            </w:r>
            <w:r>
              <w:rPr>
                <w:rFonts w:hint="eastAsia" w:asciiTheme="minorEastAsia" w:hAnsiTheme="minorEastAsia" w:eastAsiaTheme="minorEastAsia" w:cstheme="minorEastAsia"/>
                <w:color w:val="000000"/>
                <w:kern w:val="0"/>
                <w:sz w:val="21"/>
                <w:szCs w:val="21"/>
                <w:lang w:val="en-US" w:eastAsia="zh-CN"/>
              </w:rPr>
              <w:t>8</w:t>
            </w:r>
            <w:r>
              <w:rPr>
                <w:rFonts w:hint="eastAsia" w:asciiTheme="minorEastAsia" w:hAnsiTheme="minorEastAsia" w:eastAsiaTheme="minorEastAsia" w:cstheme="minorEastAsia"/>
                <w:color w:val="000000"/>
                <w:kern w:val="0"/>
                <w:sz w:val="21"/>
                <w:szCs w:val="21"/>
              </w:rPr>
              <w:t>：做好退役军人服务工作</w:t>
            </w:r>
          </w:p>
        </w:tc>
        <w:tc>
          <w:tcPr>
            <w:tcW w:w="922" w:type="dxa"/>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一级</w:t>
            </w:r>
          </w:p>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w:t>
            </w:r>
          </w:p>
        </w:tc>
        <w:tc>
          <w:tcPr>
            <w:tcW w:w="1164"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二级</w:t>
            </w:r>
          </w:p>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w:t>
            </w:r>
          </w:p>
        </w:tc>
        <w:tc>
          <w:tcPr>
            <w:tcW w:w="1800"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三级</w:t>
            </w:r>
          </w:p>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w:t>
            </w:r>
          </w:p>
        </w:tc>
        <w:tc>
          <w:tcPr>
            <w:tcW w:w="1405"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预算指标值(包含数字及文字描述)</w:t>
            </w:r>
          </w:p>
        </w:tc>
        <w:tc>
          <w:tcPr>
            <w:tcW w:w="181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预算指标值执行结果(包含数字及文字描述)</w:t>
            </w:r>
          </w:p>
        </w:tc>
        <w:tc>
          <w:tcPr>
            <w:tcW w:w="1611"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预算指标值与预算指标值执行结果偏差情况及原因分析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00" w:type="dxa"/>
            <w:vMerge w:val="continue"/>
            <w:tcBorders>
              <w:tl2br w:val="nil"/>
              <w:tr2bl w:val="nil"/>
            </w:tcBorders>
            <w:vAlign w:val="center"/>
          </w:tcPr>
          <w:p>
            <w:pPr>
              <w:spacing w:line="240" w:lineRule="exact"/>
              <w:jc w:val="left"/>
              <w:rPr>
                <w:rFonts w:hint="eastAsia" w:asciiTheme="minorEastAsia" w:hAnsiTheme="minorEastAsia" w:eastAsiaTheme="minorEastAsia" w:cstheme="minorEastAsia"/>
                <w:color w:val="000000"/>
                <w:kern w:val="0"/>
                <w:sz w:val="21"/>
                <w:szCs w:val="21"/>
              </w:rPr>
            </w:pPr>
          </w:p>
        </w:tc>
        <w:tc>
          <w:tcPr>
            <w:tcW w:w="922" w:type="dxa"/>
            <w:vMerge w:val="restart"/>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完成指标</w:t>
            </w:r>
          </w:p>
        </w:tc>
        <w:tc>
          <w:tcPr>
            <w:tcW w:w="1164" w:type="dxa"/>
            <w:gridSpan w:val="2"/>
            <w:vMerge w:val="restart"/>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数量指标</w:t>
            </w:r>
          </w:p>
        </w:tc>
        <w:tc>
          <w:tcPr>
            <w:tcW w:w="1800"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指标1：开展退役军人相关事务宣传工作</w:t>
            </w:r>
          </w:p>
        </w:tc>
        <w:tc>
          <w:tcPr>
            <w:tcW w:w="1405"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1次</w:t>
            </w:r>
          </w:p>
        </w:tc>
        <w:tc>
          <w:tcPr>
            <w:tcW w:w="181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1次</w:t>
            </w:r>
          </w:p>
        </w:tc>
        <w:tc>
          <w:tcPr>
            <w:tcW w:w="1611"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00" w:type="dxa"/>
            <w:vMerge w:val="continue"/>
            <w:tcBorders>
              <w:tl2br w:val="nil"/>
              <w:tr2bl w:val="nil"/>
            </w:tcBorders>
            <w:vAlign w:val="center"/>
          </w:tcPr>
          <w:p>
            <w:pPr>
              <w:spacing w:line="240" w:lineRule="exact"/>
              <w:jc w:val="left"/>
              <w:rPr>
                <w:rFonts w:hint="eastAsia" w:asciiTheme="minorEastAsia" w:hAnsiTheme="minorEastAsia" w:eastAsiaTheme="minorEastAsia" w:cstheme="minorEastAsia"/>
                <w:color w:val="000000"/>
                <w:kern w:val="0"/>
                <w:sz w:val="21"/>
                <w:szCs w:val="21"/>
              </w:rPr>
            </w:pPr>
          </w:p>
        </w:tc>
        <w:tc>
          <w:tcPr>
            <w:tcW w:w="922" w:type="dxa"/>
            <w:vMerge w:val="continue"/>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1164" w:type="dxa"/>
            <w:gridSpan w:val="2"/>
            <w:vMerge w:val="continue"/>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1800"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指标2：开展退役军人、军属、烈属慰问走访</w:t>
            </w:r>
          </w:p>
        </w:tc>
        <w:tc>
          <w:tcPr>
            <w:tcW w:w="1405"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4次</w:t>
            </w:r>
          </w:p>
        </w:tc>
        <w:tc>
          <w:tcPr>
            <w:tcW w:w="181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4次</w:t>
            </w:r>
          </w:p>
        </w:tc>
        <w:tc>
          <w:tcPr>
            <w:tcW w:w="1611"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00" w:type="dxa"/>
            <w:vMerge w:val="continue"/>
            <w:tcBorders>
              <w:tl2br w:val="nil"/>
              <w:tr2bl w:val="nil"/>
            </w:tcBorders>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922" w:type="dxa"/>
            <w:vMerge w:val="continue"/>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1164"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质量指标</w:t>
            </w:r>
          </w:p>
        </w:tc>
        <w:tc>
          <w:tcPr>
            <w:tcW w:w="1800"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指标1：做好退役军人保障工作</w:t>
            </w:r>
          </w:p>
        </w:tc>
        <w:tc>
          <w:tcPr>
            <w:tcW w:w="1405"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100%</w:t>
            </w:r>
          </w:p>
        </w:tc>
        <w:tc>
          <w:tcPr>
            <w:tcW w:w="181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100%</w:t>
            </w:r>
          </w:p>
        </w:tc>
        <w:tc>
          <w:tcPr>
            <w:tcW w:w="1611"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00" w:type="dxa"/>
            <w:vMerge w:val="continue"/>
            <w:tcBorders>
              <w:tl2br w:val="nil"/>
              <w:tr2bl w:val="nil"/>
            </w:tcBorders>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p>
        </w:tc>
        <w:tc>
          <w:tcPr>
            <w:tcW w:w="922" w:type="dxa"/>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满意度指标</w:t>
            </w:r>
          </w:p>
        </w:tc>
        <w:tc>
          <w:tcPr>
            <w:tcW w:w="1164"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满意度指标</w:t>
            </w:r>
          </w:p>
        </w:tc>
        <w:tc>
          <w:tcPr>
            <w:tcW w:w="1800" w:type="dxa"/>
            <w:gridSpan w:val="2"/>
            <w:tcBorders>
              <w:tl2br w:val="nil"/>
              <w:tr2bl w:val="nil"/>
            </w:tcBorders>
            <w:noWrap/>
            <w:vAlign w:val="center"/>
          </w:tcPr>
          <w:p>
            <w:pPr>
              <w:widowControl/>
              <w:spacing w:line="240" w:lineRule="exact"/>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指标1：退役军人对退役军人服务工作满意度</w:t>
            </w:r>
          </w:p>
        </w:tc>
        <w:tc>
          <w:tcPr>
            <w:tcW w:w="1405"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100%</w:t>
            </w:r>
          </w:p>
        </w:tc>
        <w:tc>
          <w:tcPr>
            <w:tcW w:w="1814" w:type="dxa"/>
            <w:gridSpan w:val="2"/>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100%</w:t>
            </w:r>
          </w:p>
        </w:tc>
        <w:tc>
          <w:tcPr>
            <w:tcW w:w="1611" w:type="dxa"/>
            <w:tcBorders>
              <w:tl2br w:val="nil"/>
              <w:tr2bl w:val="nil"/>
            </w:tcBorders>
            <w:noWrap/>
            <w:vAlign w:val="center"/>
          </w:tcPr>
          <w:p>
            <w:pPr>
              <w:widowControl/>
              <w:spacing w:line="240" w:lineRule="exact"/>
              <w:jc w:val="center"/>
              <w:rPr>
                <w:rFonts w:hint="eastAsia" w:asciiTheme="minorEastAsia" w:hAnsiTheme="minorEastAsia" w:eastAsiaTheme="minorEastAsia" w:cstheme="minorEastAsia"/>
                <w:color w:val="000000"/>
                <w:kern w:val="0"/>
                <w:sz w:val="21"/>
                <w:szCs w:val="21"/>
              </w:rPr>
            </w:pPr>
          </w:p>
        </w:tc>
      </w:tr>
    </w:tbl>
    <w:p>
      <w:pPr>
        <w:spacing w:line="620" w:lineRule="exact"/>
        <w:jc w:val="left"/>
        <w:rPr>
          <w:rFonts w:ascii="??????" w:hAnsi="宋体" w:eastAsia="Times New Roman"/>
          <w:color w:val="000000"/>
          <w:kern w:val="0"/>
          <w:sz w:val="33"/>
          <w:szCs w:val="33"/>
        </w:rPr>
        <w:sectPr>
          <w:pgSz w:w="11907" w:h="16840"/>
          <w:pgMar w:top="2098" w:right="1474" w:bottom="1928" w:left="1588" w:header="851" w:footer="992" w:gutter="0"/>
          <w:pgBorders>
            <w:top w:val="none" w:sz="0" w:space="0"/>
            <w:left w:val="none" w:sz="0" w:space="0"/>
            <w:bottom w:val="none" w:sz="0" w:space="0"/>
            <w:right w:val="none" w:sz="0" w:space="0"/>
          </w:pgBorders>
          <w:cols w:space="720" w:num="1"/>
          <w:docGrid w:type="lines" w:linePitch="312" w:charSpace="0"/>
        </w:sectPr>
      </w:pPr>
    </w:p>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黑体简体">
    <w:panose1 w:val="03000509000000000000"/>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方正楷体简体">
    <w:panose1 w:val="02010601030101010101"/>
    <w:charset w:val="86"/>
    <w:family w:val="auto"/>
    <w:pitch w:val="default"/>
    <w:sig w:usb0="00000001" w:usb1="080E0000" w:usb2="00000000" w:usb3="00000000" w:csb0="00040000" w:csb1="00000000"/>
  </w:font>
  <w:font w:name="??????">
    <w:altName w:val="Times New Roman"/>
    <w:panose1 w:val="00000000000000000000"/>
    <w:charset w:val="00"/>
    <w:family w:val="auto"/>
    <w:pitch w:val="default"/>
    <w:sig w:usb0="00000000"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0C324B"/>
    <w:multiLevelType w:val="singleLevel"/>
    <w:tmpl w:val="F20C324B"/>
    <w:lvl w:ilvl="0" w:tentative="0">
      <w:start w:val="3"/>
      <w:numFmt w:val="decimal"/>
      <w:lvlText w:val="%1."/>
      <w:lvlJc w:val="left"/>
      <w:pPr>
        <w:tabs>
          <w:tab w:val="left" w:pos="312"/>
        </w:tabs>
      </w:pPr>
    </w:lvl>
  </w:abstractNum>
  <w:abstractNum w:abstractNumId="1">
    <w:nsid w:val="6400A3C5"/>
    <w:multiLevelType w:val="singleLevel"/>
    <w:tmpl w:val="6400A3C5"/>
    <w:lvl w:ilvl="0" w:tentative="0">
      <w:start w:val="2"/>
      <w:numFmt w:val="chineseCounting"/>
      <w:suff w:val="nothing"/>
      <w:lvlText w:val="（%1）"/>
      <w:lvlJc w:val="left"/>
      <w:pPr>
        <w:ind w:left="-13"/>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315B12"/>
    <w:rsid w:val="017F1128"/>
    <w:rsid w:val="04FD1A4F"/>
    <w:rsid w:val="05E02573"/>
    <w:rsid w:val="06B37CC7"/>
    <w:rsid w:val="07322C5D"/>
    <w:rsid w:val="077D19F6"/>
    <w:rsid w:val="082D678F"/>
    <w:rsid w:val="09482692"/>
    <w:rsid w:val="0C102997"/>
    <w:rsid w:val="0C814F3A"/>
    <w:rsid w:val="0D317D8F"/>
    <w:rsid w:val="0F2E225A"/>
    <w:rsid w:val="10E81FCC"/>
    <w:rsid w:val="124F4A04"/>
    <w:rsid w:val="12B30492"/>
    <w:rsid w:val="142D13D8"/>
    <w:rsid w:val="1514757C"/>
    <w:rsid w:val="15601B49"/>
    <w:rsid w:val="157A5D75"/>
    <w:rsid w:val="15B60F1C"/>
    <w:rsid w:val="16260C3F"/>
    <w:rsid w:val="16BB49C9"/>
    <w:rsid w:val="16C33FD7"/>
    <w:rsid w:val="17E57F73"/>
    <w:rsid w:val="196456E7"/>
    <w:rsid w:val="1A055718"/>
    <w:rsid w:val="1AAC4EFD"/>
    <w:rsid w:val="1C83047E"/>
    <w:rsid w:val="1D9F6B11"/>
    <w:rsid w:val="1F4D197F"/>
    <w:rsid w:val="1FA4683C"/>
    <w:rsid w:val="1FEB4B94"/>
    <w:rsid w:val="23340082"/>
    <w:rsid w:val="242728D1"/>
    <w:rsid w:val="24BE6288"/>
    <w:rsid w:val="270F7BA2"/>
    <w:rsid w:val="275054A5"/>
    <w:rsid w:val="28006B05"/>
    <w:rsid w:val="28B16A88"/>
    <w:rsid w:val="29F60C87"/>
    <w:rsid w:val="2AC97546"/>
    <w:rsid w:val="2AF505ED"/>
    <w:rsid w:val="2B06698D"/>
    <w:rsid w:val="2BA203AC"/>
    <w:rsid w:val="2BFB3F4C"/>
    <w:rsid w:val="2C807F1B"/>
    <w:rsid w:val="2CBB5936"/>
    <w:rsid w:val="31D25456"/>
    <w:rsid w:val="323152A9"/>
    <w:rsid w:val="328B1514"/>
    <w:rsid w:val="33C46453"/>
    <w:rsid w:val="33FE3193"/>
    <w:rsid w:val="37035368"/>
    <w:rsid w:val="3784746F"/>
    <w:rsid w:val="37AC6D67"/>
    <w:rsid w:val="386B1B9C"/>
    <w:rsid w:val="3A276522"/>
    <w:rsid w:val="3AD84EE7"/>
    <w:rsid w:val="3CF57C78"/>
    <w:rsid w:val="3D7822AB"/>
    <w:rsid w:val="3DA4296A"/>
    <w:rsid w:val="40CC3286"/>
    <w:rsid w:val="40ED4279"/>
    <w:rsid w:val="41E33AB9"/>
    <w:rsid w:val="42726079"/>
    <w:rsid w:val="428512B9"/>
    <w:rsid w:val="433A2060"/>
    <w:rsid w:val="43A84147"/>
    <w:rsid w:val="444D0253"/>
    <w:rsid w:val="449377FE"/>
    <w:rsid w:val="4798388F"/>
    <w:rsid w:val="47CF09DD"/>
    <w:rsid w:val="47F46310"/>
    <w:rsid w:val="48D43FB0"/>
    <w:rsid w:val="49FB749B"/>
    <w:rsid w:val="4A171426"/>
    <w:rsid w:val="4AF41025"/>
    <w:rsid w:val="4B6B6041"/>
    <w:rsid w:val="4DC9348C"/>
    <w:rsid w:val="501F739A"/>
    <w:rsid w:val="5027305D"/>
    <w:rsid w:val="548972C7"/>
    <w:rsid w:val="559C6E1F"/>
    <w:rsid w:val="574E77B0"/>
    <w:rsid w:val="59D71E15"/>
    <w:rsid w:val="5ABB2DE7"/>
    <w:rsid w:val="5B0E4227"/>
    <w:rsid w:val="5D421D6E"/>
    <w:rsid w:val="5DE71A2D"/>
    <w:rsid w:val="5E31375C"/>
    <w:rsid w:val="5EB07E22"/>
    <w:rsid w:val="60251EDD"/>
    <w:rsid w:val="605B1C82"/>
    <w:rsid w:val="60D87F84"/>
    <w:rsid w:val="60F05779"/>
    <w:rsid w:val="612869CF"/>
    <w:rsid w:val="61CC261E"/>
    <w:rsid w:val="649F1330"/>
    <w:rsid w:val="65CA3174"/>
    <w:rsid w:val="662C0846"/>
    <w:rsid w:val="666A4FEE"/>
    <w:rsid w:val="66712814"/>
    <w:rsid w:val="667357E2"/>
    <w:rsid w:val="699D0A6E"/>
    <w:rsid w:val="69E15755"/>
    <w:rsid w:val="6A6F6D05"/>
    <w:rsid w:val="6A7868D7"/>
    <w:rsid w:val="6A7F28F1"/>
    <w:rsid w:val="6BB06B8F"/>
    <w:rsid w:val="6C930854"/>
    <w:rsid w:val="6D777AA5"/>
    <w:rsid w:val="6ED07902"/>
    <w:rsid w:val="703D0578"/>
    <w:rsid w:val="71813620"/>
    <w:rsid w:val="72167D68"/>
    <w:rsid w:val="735E1213"/>
    <w:rsid w:val="74124088"/>
    <w:rsid w:val="74124E15"/>
    <w:rsid w:val="7528647D"/>
    <w:rsid w:val="77100099"/>
    <w:rsid w:val="78BF2FE7"/>
    <w:rsid w:val="78E15A7D"/>
    <w:rsid w:val="79D12DB8"/>
    <w:rsid w:val="7B3544B3"/>
    <w:rsid w:val="7B762F7A"/>
    <w:rsid w:val="7BB113F2"/>
    <w:rsid w:val="7BCA5A1B"/>
    <w:rsid w:val="7BDB0829"/>
    <w:rsid w:val="7C315B12"/>
    <w:rsid w:val="7C601551"/>
    <w:rsid w:val="7DE63C3B"/>
    <w:rsid w:val="7E497387"/>
    <w:rsid w:val="7E8A59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iPriority="99"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图表目录1"/>
    <w:basedOn w:val="1"/>
    <w:next w:val="1"/>
    <w:qFormat/>
    <w:uiPriority w:val="0"/>
    <w:pPr>
      <w:ind w:left="200" w:leftChars="200" w:hanging="200" w:hangingChars="200"/>
    </w:pPr>
    <w:rPr>
      <w:rFonts w:ascii="Calibri" w:hAnsi="Calibri"/>
    </w:rPr>
  </w:style>
  <w:style w:type="paragraph" w:styleId="3">
    <w:name w:val="Body Text"/>
    <w:basedOn w:val="1"/>
    <w:next w:val="1"/>
    <w:qFormat/>
    <w:uiPriority w:val="0"/>
    <w:rPr>
      <w:rFonts w:ascii="Times New Roman" w:hAnsi="Times New Roman" w:cs="Times New Roman"/>
      <w:sz w:val="32"/>
      <w:szCs w:val="32"/>
    </w:rPr>
  </w:style>
  <w:style w:type="character" w:customStyle="1" w:styleId="6">
    <w:name w:val="NormalCharacter"/>
    <w:semiHidden/>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13</TotalTime>
  <ScaleCrop>false</ScaleCrop>
  <LinksUpToDate>false</LinksUpToDate>
  <CharactersWithSpaces>0</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2023-11-14T03:07:00Z</dcterms:created>
  <dc:creator>jkh</dc:creator>
  <cp:lastModifiedBy>jkh</cp:lastModifiedBy>
  <cp:lastPrinted>2023-11-15T07:53:00Z</cp:lastPrinted>
  <dcterms:modified xsi:type="dcterms:W3CDTF">2023-11-16T08:12:05Z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6A316BA1BA2543ACB190D428993F58A7</vt:lpwstr>
  </property>
</Properties>
</file>